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97BC1" w14:textId="77777777" w:rsidR="00674DEC" w:rsidRDefault="001A1E90" w:rsidP="00D65AF2">
      <w:pPr>
        <w:jc w:val="center"/>
        <w:rPr>
          <w:b/>
          <w:sz w:val="24"/>
          <w:szCs w:val="24"/>
        </w:rPr>
      </w:pPr>
      <w:r w:rsidRPr="001A1E90">
        <w:rPr>
          <w:b/>
          <w:sz w:val="24"/>
          <w:szCs w:val="24"/>
        </w:rPr>
        <w:t>Smart Metering Implementation Programme</w:t>
      </w:r>
    </w:p>
    <w:p w14:paraId="4DCD4D17" w14:textId="77777777" w:rsidR="00D65AF2" w:rsidRDefault="00D65AF2" w:rsidP="0020787B">
      <w:pPr>
        <w:pStyle w:val="Narrow"/>
      </w:pPr>
    </w:p>
    <w:p w14:paraId="58134B1D" w14:textId="77777777" w:rsidR="00D65AF2" w:rsidRPr="004970ED" w:rsidRDefault="00733AD3" w:rsidP="00D65AF2">
      <w:pPr>
        <w:pStyle w:val="NoSpacing"/>
        <w:jc w:val="center"/>
        <w:rPr>
          <w:rFonts w:cs="Arial"/>
          <w:sz w:val="32"/>
          <w:szCs w:val="24"/>
        </w:rPr>
      </w:pPr>
      <w:r>
        <w:rPr>
          <w:rFonts w:cs="Arial"/>
          <w:sz w:val="32"/>
          <w:szCs w:val="24"/>
        </w:rPr>
        <w:t>Technical Specification</w:t>
      </w:r>
      <w:r w:rsidR="00D65AF2" w:rsidRPr="004970ED">
        <w:rPr>
          <w:rFonts w:cs="Arial"/>
          <w:sz w:val="32"/>
          <w:szCs w:val="24"/>
        </w:rPr>
        <w:t xml:space="preserve"> Issue Resolution </w:t>
      </w:r>
      <w:r w:rsidR="005A7919">
        <w:rPr>
          <w:rFonts w:cs="Arial"/>
          <w:sz w:val="32"/>
          <w:szCs w:val="24"/>
        </w:rPr>
        <w:t>Proposal</w:t>
      </w:r>
    </w:p>
    <w:p w14:paraId="7735769E" w14:textId="77777777" w:rsidR="00D65AF2" w:rsidRDefault="00D65AF2" w:rsidP="00420DC1">
      <w:pPr>
        <w:pStyle w:val="Narrow"/>
      </w:pPr>
    </w:p>
    <w:p w14:paraId="5914787E" w14:textId="77777777" w:rsidR="00D65AF2" w:rsidRPr="00070851" w:rsidRDefault="000A13EB" w:rsidP="00D65AF2">
      <w:pPr>
        <w:rPr>
          <w:vertAlign w:val="superscript"/>
        </w:rPr>
      </w:pPr>
      <w:r>
        <w:rPr>
          <w:noProof/>
          <w:lang w:eastAsia="en-GB"/>
        </w:rPr>
        <mc:AlternateContent>
          <mc:Choice Requires="wps">
            <w:drawing>
              <wp:anchor distT="0" distB="0" distL="114300" distR="114300" simplePos="0" relativeHeight="251659264" behindDoc="1" locked="0" layoutInCell="1" allowOverlap="1" wp14:anchorId="10FADF51" wp14:editId="0355E48C">
                <wp:simplePos x="0" y="0"/>
                <wp:positionH relativeFrom="margin">
                  <wp:posOffset>-63220</wp:posOffset>
                </wp:positionH>
                <wp:positionV relativeFrom="paragraph">
                  <wp:posOffset>42924</wp:posOffset>
                </wp:positionV>
                <wp:extent cx="5818909" cy="601133"/>
                <wp:effectExtent l="0" t="0" r="10795" b="27940"/>
                <wp:wrapNone/>
                <wp:docPr id="1" name="Text Box 1"/>
                <wp:cNvGraphicFramePr/>
                <a:graphic xmlns:a="http://schemas.openxmlformats.org/drawingml/2006/main">
                  <a:graphicData uri="http://schemas.microsoft.com/office/word/2010/wordprocessingShape">
                    <wps:wsp>
                      <wps:cNvSpPr txBox="1"/>
                      <wps:spPr>
                        <a:xfrm>
                          <a:off x="0" y="0"/>
                          <a:ext cx="5818909" cy="601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B8203C" w14:textId="77777777" w:rsidR="008F1528" w:rsidRDefault="008F1528" w:rsidP="00D65A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ADF51" id="_x0000_t202" coordsize="21600,21600" o:spt="202" path="m,l,21600r21600,l21600,xe">
                <v:stroke joinstyle="miter"/>
                <v:path gradientshapeok="t" o:connecttype="rect"/>
              </v:shapetype>
              <v:shape id="Text Box 1" o:spid="_x0000_s1026" type="#_x0000_t202" style="position:absolute;margin-left:-5pt;margin-top:3.4pt;width:458.2pt;height:4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" fillcolor="white [3201]" strokeweight=".5pt">
                <v:textbox>
                  <w:txbxContent>
                    <w:p w14:paraId="3BB8203C" w14:textId="77777777" w:rsidR="008F1528" w:rsidRDefault="008F1528" w:rsidP="00D65AF2"/>
                  </w:txbxContent>
                </v:textbox>
                <w10:wrap anchorx="margin"/>
              </v:shape>
            </w:pict>
          </mc:Fallback>
        </mc:AlternateContent>
      </w:r>
      <w:r w:rsidR="00D65AF2">
        <w:t xml:space="preserve">This note provides </w:t>
      </w:r>
      <w:r w:rsidR="007245DC">
        <w:t>BEIS</w:t>
      </w:r>
      <w:r w:rsidR="00D65AF2">
        <w:t xml:space="preserve">’s interim position on an issue identified with the current version of the </w:t>
      </w:r>
      <w:r w:rsidR="002E354D">
        <w:t xml:space="preserve">Technical Specifications </w:t>
      </w:r>
      <w:r w:rsidR="00D65AF2">
        <w:t xml:space="preserve">or </w:t>
      </w:r>
      <w:r w:rsidR="002E354D">
        <w:t>their</w:t>
      </w:r>
      <w:r w:rsidR="00D65AF2">
        <w:t xml:space="preserve"> associated content.</w:t>
      </w:r>
      <w:r w:rsidR="00610F5F">
        <w:t xml:space="preserve"> </w:t>
      </w:r>
      <w:r w:rsidR="00D65AF2">
        <w:t xml:space="preserve"> </w:t>
      </w:r>
      <w:r w:rsidR="005A7919">
        <w:t>Please note this position should be considered as Draft until ratified through TBDG.</w:t>
      </w:r>
      <w:r w:rsidR="00D65AF2">
        <w:t xml:space="preserve">  </w:t>
      </w:r>
    </w:p>
    <w:p w14:paraId="015F6599" w14:textId="77777777"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14:paraId="344EC1CC" w14:textId="77777777" w:rsidTr="00D6574C">
        <w:tc>
          <w:tcPr>
            <w:tcW w:w="3936" w:type="dxa"/>
          </w:tcPr>
          <w:p w14:paraId="43C960AB" w14:textId="77777777" w:rsidR="00D6574C" w:rsidRPr="001B2D3F" w:rsidRDefault="00D6574C" w:rsidP="008F1528">
            <w:pPr>
              <w:pStyle w:val="NoSpacing"/>
              <w:rPr>
                <w:b/>
              </w:rPr>
            </w:pPr>
            <w:r w:rsidRPr="001B2D3F">
              <w:rPr>
                <w:b/>
              </w:rPr>
              <w:t>Date</w:t>
            </w:r>
          </w:p>
        </w:tc>
        <w:tc>
          <w:tcPr>
            <w:tcW w:w="5244" w:type="dxa"/>
          </w:tcPr>
          <w:p w14:paraId="1F8E61E8" w14:textId="620B6701" w:rsidR="00D6574C" w:rsidRPr="002B5422" w:rsidRDefault="00D7474B" w:rsidP="00BF493C">
            <w:pPr>
              <w:pStyle w:val="NoSpacing"/>
            </w:pPr>
            <w:r>
              <w:t>5 May</w:t>
            </w:r>
            <w:r w:rsidR="00CC57E5">
              <w:t xml:space="preserve"> 2020</w:t>
            </w:r>
          </w:p>
        </w:tc>
      </w:tr>
      <w:tr w:rsidR="00D6574C" w14:paraId="2AB2D6AC" w14:textId="77777777" w:rsidTr="00D6574C">
        <w:tc>
          <w:tcPr>
            <w:tcW w:w="3936" w:type="dxa"/>
          </w:tcPr>
          <w:p w14:paraId="4C6D71A5" w14:textId="77777777" w:rsidR="00D6574C" w:rsidRPr="001B2D3F" w:rsidRDefault="00D6574C" w:rsidP="008F1528">
            <w:pPr>
              <w:pStyle w:val="NoSpacing"/>
              <w:rPr>
                <w:b/>
              </w:rPr>
            </w:pPr>
            <w:r w:rsidRPr="001B2D3F">
              <w:rPr>
                <w:b/>
              </w:rPr>
              <w:t xml:space="preserve">Issue Resolution </w:t>
            </w:r>
            <w:r>
              <w:rPr>
                <w:b/>
              </w:rPr>
              <w:t>Proposal</w:t>
            </w:r>
          </w:p>
        </w:tc>
        <w:tc>
          <w:tcPr>
            <w:tcW w:w="5244" w:type="dxa"/>
          </w:tcPr>
          <w:p w14:paraId="1DADAC2C" w14:textId="538383D4" w:rsidR="00D6574C" w:rsidRPr="002B5422" w:rsidRDefault="00346C79" w:rsidP="00036C29">
            <w:pPr>
              <w:pStyle w:val="NoSpacing"/>
            </w:pPr>
            <w:r>
              <w:t>IRP621</w:t>
            </w:r>
          </w:p>
        </w:tc>
      </w:tr>
      <w:tr w:rsidR="00D6574C" w14:paraId="6344EA11" w14:textId="77777777" w:rsidTr="00D6574C">
        <w:tc>
          <w:tcPr>
            <w:tcW w:w="3936" w:type="dxa"/>
          </w:tcPr>
          <w:p w14:paraId="29E2514A" w14:textId="77777777" w:rsidR="00D6574C" w:rsidRPr="001B2D3F" w:rsidRDefault="00D6574C" w:rsidP="008F1528">
            <w:pPr>
              <w:pStyle w:val="NoSpacing"/>
              <w:rPr>
                <w:b/>
              </w:rPr>
            </w:pPr>
            <w:r w:rsidRPr="001B2D3F">
              <w:rPr>
                <w:b/>
              </w:rPr>
              <w:t>Issues Log ID</w:t>
            </w:r>
          </w:p>
        </w:tc>
        <w:tc>
          <w:tcPr>
            <w:tcW w:w="5244" w:type="dxa"/>
          </w:tcPr>
          <w:p w14:paraId="6A553E53" w14:textId="60D91565" w:rsidR="00D6574C" w:rsidRPr="002B5422" w:rsidRDefault="00346C79" w:rsidP="00036C29">
            <w:pPr>
              <w:pStyle w:val="NoSpacing"/>
            </w:pPr>
            <w:r>
              <w:t>TS1253</w:t>
            </w:r>
          </w:p>
        </w:tc>
      </w:tr>
      <w:tr w:rsidR="00D6574C" w14:paraId="5B1AC21F" w14:textId="77777777" w:rsidTr="00D6574C">
        <w:tc>
          <w:tcPr>
            <w:tcW w:w="3936" w:type="dxa"/>
          </w:tcPr>
          <w:p w14:paraId="65D467F0" w14:textId="77777777" w:rsidR="00D6574C" w:rsidRPr="001B2D3F" w:rsidRDefault="00D6574C" w:rsidP="008F1528">
            <w:pPr>
              <w:pStyle w:val="NoSpacing"/>
              <w:rPr>
                <w:b/>
              </w:rPr>
            </w:pPr>
            <w:r w:rsidRPr="001B2D3F">
              <w:rPr>
                <w:b/>
              </w:rPr>
              <w:t>Issue Title</w:t>
            </w:r>
          </w:p>
        </w:tc>
        <w:tc>
          <w:tcPr>
            <w:tcW w:w="5244" w:type="dxa"/>
          </w:tcPr>
          <w:p w14:paraId="20A45342" w14:textId="167DD262" w:rsidR="00D6574C" w:rsidRPr="002B5422" w:rsidRDefault="00346C79" w:rsidP="008F1528">
            <w:pPr>
              <w:pStyle w:val="NoSpacing"/>
            </w:pPr>
            <w:r w:rsidRPr="00346C79">
              <w:t>HAN Only Command Validation by the ESME / GSME - GBCS error</w:t>
            </w:r>
          </w:p>
        </w:tc>
      </w:tr>
      <w:tr w:rsidR="00D6574C" w14:paraId="0DB4EDCE" w14:textId="77777777" w:rsidTr="00D6574C">
        <w:tc>
          <w:tcPr>
            <w:tcW w:w="3936" w:type="dxa"/>
          </w:tcPr>
          <w:p w14:paraId="2C96137A" w14:textId="77777777" w:rsidR="00D6574C" w:rsidRPr="001B2D3F" w:rsidRDefault="00D6574C" w:rsidP="008F1528">
            <w:pPr>
              <w:pStyle w:val="NoSpacing"/>
              <w:rPr>
                <w:b/>
              </w:rPr>
            </w:pPr>
            <w:r w:rsidRPr="001B2D3F">
              <w:rPr>
                <w:b/>
              </w:rPr>
              <w:t>Source</w:t>
            </w:r>
          </w:p>
        </w:tc>
        <w:tc>
          <w:tcPr>
            <w:tcW w:w="5244" w:type="dxa"/>
          </w:tcPr>
          <w:p w14:paraId="1475FE99" w14:textId="2731BA46" w:rsidR="00D6574C" w:rsidRPr="002B5422" w:rsidRDefault="00346C79" w:rsidP="008F1528">
            <w:pPr>
              <w:pStyle w:val="NoSpacing"/>
            </w:pPr>
            <w:r>
              <w:t>Honeywell</w:t>
            </w:r>
          </w:p>
        </w:tc>
      </w:tr>
      <w:tr w:rsidR="00D6574C" w14:paraId="3D6AA938" w14:textId="77777777" w:rsidTr="00D6574C">
        <w:tc>
          <w:tcPr>
            <w:tcW w:w="3936" w:type="dxa"/>
          </w:tcPr>
          <w:p w14:paraId="7113B07B" w14:textId="77777777" w:rsidR="00D6574C" w:rsidRPr="001B2D3F" w:rsidRDefault="00D6574C" w:rsidP="008F1528">
            <w:pPr>
              <w:pStyle w:val="NoSpacing"/>
              <w:rPr>
                <w:b/>
              </w:rPr>
            </w:pPr>
            <w:r>
              <w:rPr>
                <w:b/>
              </w:rPr>
              <w:t>Date Raised</w:t>
            </w:r>
          </w:p>
        </w:tc>
        <w:tc>
          <w:tcPr>
            <w:tcW w:w="5244" w:type="dxa"/>
          </w:tcPr>
          <w:p w14:paraId="1B6644D0" w14:textId="707442A3" w:rsidR="00D6574C" w:rsidRPr="002B5422" w:rsidRDefault="00346C79" w:rsidP="008F1528">
            <w:pPr>
              <w:pStyle w:val="NoSpacing"/>
            </w:pPr>
            <w:r>
              <w:t>14 February 2020</w:t>
            </w:r>
          </w:p>
        </w:tc>
      </w:tr>
      <w:tr w:rsidR="00D6574C" w14:paraId="459CA6D0" w14:textId="77777777" w:rsidTr="00D6574C">
        <w:tc>
          <w:tcPr>
            <w:tcW w:w="3936" w:type="dxa"/>
          </w:tcPr>
          <w:p w14:paraId="3FEA9206" w14:textId="77777777" w:rsidR="00D6574C" w:rsidRPr="001B2D3F" w:rsidRDefault="00D6574C" w:rsidP="008F1528">
            <w:pPr>
              <w:pStyle w:val="NoSpacing"/>
              <w:rPr>
                <w:b/>
              </w:rPr>
            </w:pPr>
            <w:r>
              <w:rPr>
                <w:b/>
              </w:rPr>
              <w:t>Status</w:t>
            </w:r>
          </w:p>
        </w:tc>
        <w:tc>
          <w:tcPr>
            <w:tcW w:w="5244" w:type="dxa"/>
          </w:tcPr>
          <w:p w14:paraId="24F0D15D" w14:textId="21B8C72F" w:rsidR="00D6574C" w:rsidRDefault="00E94FB8" w:rsidP="004B35EF">
            <w:pPr>
              <w:pStyle w:val="NoSpacing"/>
            </w:pPr>
            <w:r>
              <w:t>Draft v0_1</w:t>
            </w:r>
          </w:p>
        </w:tc>
      </w:tr>
      <w:tr w:rsidR="00D6574C" w14:paraId="6EE3B1F0" w14:textId="77777777" w:rsidTr="00D6574C">
        <w:tc>
          <w:tcPr>
            <w:tcW w:w="3936" w:type="dxa"/>
          </w:tcPr>
          <w:p w14:paraId="25B86516" w14:textId="77777777" w:rsidR="00D6574C" w:rsidRPr="004970ED" w:rsidRDefault="00D6574C" w:rsidP="008F1528">
            <w:pPr>
              <w:pStyle w:val="NoSpacing"/>
              <w:rPr>
                <w:i/>
                <w:sz w:val="16"/>
                <w:szCs w:val="16"/>
              </w:rPr>
            </w:pPr>
            <w:r>
              <w:rPr>
                <w:b/>
              </w:rPr>
              <w:t>Documentation Reference</w:t>
            </w:r>
          </w:p>
        </w:tc>
        <w:tc>
          <w:tcPr>
            <w:tcW w:w="5244" w:type="dxa"/>
          </w:tcPr>
          <w:p w14:paraId="2E0AC992" w14:textId="38A1FE66" w:rsidR="004B35EF" w:rsidRPr="004970ED" w:rsidRDefault="00E94FB8" w:rsidP="004B35EF">
            <w:pPr>
              <w:pStyle w:val="NoSpacing"/>
            </w:pPr>
            <w:r>
              <w:t>GBCS v3.2</w:t>
            </w:r>
          </w:p>
        </w:tc>
      </w:tr>
    </w:tbl>
    <w:p w14:paraId="302E4477" w14:textId="77777777" w:rsidR="001F4E42" w:rsidRDefault="001F4E42" w:rsidP="001F4E42">
      <w:pPr>
        <w:rPr>
          <w:b/>
          <w:sz w:val="24"/>
          <w:szCs w:val="24"/>
        </w:rPr>
      </w:pPr>
      <w:r>
        <w:rPr>
          <w:b/>
          <w:sz w:val="24"/>
          <w:szCs w:val="24"/>
        </w:rPr>
        <w:t>Description:</w:t>
      </w:r>
    </w:p>
    <w:p w14:paraId="73646F5C" w14:textId="77777777" w:rsidR="00346C79" w:rsidRDefault="00346C79" w:rsidP="00346C79">
      <w:r>
        <w:t>In Section 14.7.4.1.3 HAN Only Command Validation by the ESME / GSME</w:t>
      </w:r>
    </w:p>
    <w:p w14:paraId="6F11083E" w14:textId="24CAAD57" w:rsidR="00346C79" w:rsidRDefault="00346C79" w:rsidP="00346C79">
      <w:r>
        <w:t>Should it read:</w:t>
      </w:r>
    </w:p>
    <w:p w14:paraId="7B761B0C" w14:textId="77777777" w:rsidR="00346C79" w:rsidRPr="00346C79" w:rsidRDefault="00346C79" w:rsidP="00346C79">
      <w:pPr>
        <w:rPr>
          <w:i/>
          <w:iCs/>
        </w:rPr>
      </w:pPr>
      <w:r>
        <w:t xml:space="preserve"> </w:t>
      </w:r>
      <w:r w:rsidRPr="00346C79">
        <w:rPr>
          <w:i/>
          <w:iCs/>
        </w:rPr>
        <w:t>'If the ESME / GSME has no PPMID in its Device Log, the ESME / GSME shall apply the requirements of Section 6.2.4.2 and undertake no additional processing.</w:t>
      </w:r>
    </w:p>
    <w:p w14:paraId="7CF8842E" w14:textId="77777777" w:rsidR="00346C79" w:rsidRPr="00346C79" w:rsidRDefault="00346C79" w:rsidP="00346C79">
      <w:pPr>
        <w:rPr>
          <w:i/>
          <w:iCs/>
        </w:rPr>
      </w:pPr>
      <w:r w:rsidRPr="00346C79">
        <w:rPr>
          <w:i/>
          <w:iCs/>
        </w:rPr>
        <w:t>If the ESME / GSME has a PPMID in its Device Log:</w:t>
      </w:r>
    </w:p>
    <w:p w14:paraId="64F3DD68" w14:textId="77777777" w:rsidR="00346C79" w:rsidRPr="00346C79" w:rsidRDefault="00346C79" w:rsidP="00346C79">
      <w:pPr>
        <w:rPr>
          <w:i/>
          <w:iCs/>
        </w:rPr>
      </w:pPr>
      <w:r w:rsidRPr="00346C79">
        <w:rPr>
          <w:i/>
          <w:iCs/>
        </w:rPr>
        <w:t>•  if the receiving Device is an ESME, the ESME shall use ZSE cryptographic processes to establish whether the Command was authentically issued by the PPMID that is in its Device Log; or</w:t>
      </w:r>
    </w:p>
    <w:p w14:paraId="7A81D2FE" w14:textId="77777777" w:rsidR="00346C79" w:rsidRPr="00346C79" w:rsidRDefault="00346C79" w:rsidP="00346C79">
      <w:pPr>
        <w:rPr>
          <w:i/>
          <w:iCs/>
        </w:rPr>
      </w:pPr>
      <w:r w:rsidRPr="00346C79">
        <w:rPr>
          <w:i/>
          <w:iCs/>
        </w:rPr>
        <w:t>•  if the receiving Device is a GSME, the GSME shall undertake Command Authenticity and Integrity Verification, as required for a Command of Message Category SME.C.PPMID-GSME to establish whether the Command was authentically issued by the PPMID that is in its Device Log.</w:t>
      </w:r>
    </w:p>
    <w:p w14:paraId="456E7E60" w14:textId="77777777" w:rsidR="00346C79" w:rsidRPr="00346C79" w:rsidRDefault="00346C79" w:rsidP="00346C79">
      <w:pPr>
        <w:rPr>
          <w:i/>
          <w:iCs/>
        </w:rPr>
      </w:pPr>
      <w:r w:rsidRPr="00D7474B">
        <w:rPr>
          <w:i/>
          <w:iCs/>
        </w:rPr>
        <w:t xml:space="preserve">If the Command was </w:t>
      </w:r>
      <w:r w:rsidRPr="00D7474B">
        <w:rPr>
          <w:b/>
          <w:bCs/>
          <w:i/>
          <w:iCs/>
          <w:color w:val="FF0000"/>
          <w:u w:val="single"/>
        </w:rPr>
        <w:t>NOT</w:t>
      </w:r>
      <w:r w:rsidRPr="00D7474B">
        <w:rPr>
          <w:i/>
          <w:iCs/>
          <w:color w:val="FF0000"/>
        </w:rPr>
        <w:t xml:space="preserve"> </w:t>
      </w:r>
      <w:r w:rsidRPr="00D7474B">
        <w:rPr>
          <w:i/>
          <w:iCs/>
        </w:rPr>
        <w:t>authentically issued by the PPMID within the Device Log, the ESME / GSME shall apply the requirements of Section 6.2.4.2.</w:t>
      </w:r>
    </w:p>
    <w:p w14:paraId="70E424E1" w14:textId="77777777" w:rsidR="00346C79" w:rsidRDefault="00346C79" w:rsidP="00346C79">
      <w:r w:rsidRPr="00346C79">
        <w:rPr>
          <w:i/>
          <w:iCs/>
        </w:rPr>
        <w:t>If the Command was authentically issued by the PPMID within the Device Log, the ESME / GSME shall comply with the requirements of Section 14.6.4 (but excluding requirements in Sections 14.6.4.1.1, save that the ESME / GSME shall disregard the 20th digit before undertaking any further steps), and so process the contents of the Command accordingly.</w:t>
      </w:r>
      <w:r>
        <w:t>'</w:t>
      </w:r>
    </w:p>
    <w:p w14:paraId="2059088C" w14:textId="77777777" w:rsidR="00C91B99" w:rsidRDefault="00C91B99">
      <w:pPr>
        <w:spacing w:before="0" w:after="200" w:line="276" w:lineRule="auto"/>
        <w:rPr>
          <w:b/>
          <w:sz w:val="24"/>
          <w:szCs w:val="24"/>
        </w:rPr>
      </w:pPr>
      <w:r>
        <w:rPr>
          <w:b/>
          <w:sz w:val="24"/>
          <w:szCs w:val="24"/>
        </w:rPr>
        <w:br w:type="page"/>
      </w:r>
    </w:p>
    <w:p w14:paraId="3B887D48" w14:textId="7C2B3339" w:rsidR="001F4E42" w:rsidRDefault="001F4E42" w:rsidP="00346C79">
      <w:pPr>
        <w:rPr>
          <w:b/>
          <w:sz w:val="24"/>
          <w:szCs w:val="24"/>
        </w:rPr>
      </w:pPr>
      <w:r>
        <w:rPr>
          <w:b/>
          <w:sz w:val="24"/>
          <w:szCs w:val="24"/>
        </w:rPr>
        <w:lastRenderedPageBreak/>
        <w:t>Proposed</w:t>
      </w:r>
      <w:r w:rsidRPr="000067E6">
        <w:rPr>
          <w:b/>
          <w:sz w:val="24"/>
          <w:szCs w:val="24"/>
        </w:rPr>
        <w:t xml:space="preserve"> Position:</w:t>
      </w:r>
    </w:p>
    <w:p w14:paraId="6D867971" w14:textId="77777777" w:rsidR="00B46952" w:rsidRPr="00285102" w:rsidRDefault="00B46952" w:rsidP="00B46952">
      <w:r w:rsidRPr="00285102">
        <w:t>The word ‘NOT’ is missing from the sentence highlighted in yellow. This is because:</w:t>
      </w:r>
    </w:p>
    <w:p w14:paraId="5AEDCD8C" w14:textId="77777777" w:rsidR="00B46952" w:rsidRPr="00285102" w:rsidRDefault="00B46952" w:rsidP="00B46952">
      <w:pPr>
        <w:pStyle w:val="ListParagraph"/>
        <w:numPr>
          <w:ilvl w:val="0"/>
          <w:numId w:val="19"/>
        </w:numPr>
      </w:pPr>
      <w:r w:rsidRPr="00285102">
        <w:t>the only processing in section 6.2.4.2 that is relevant to Prepayment Top up processing is that which relates to a failed authentication check, so leading to an Alert, a Security Log entry and the cessation of Command processing (see Annex A</w:t>
      </w:r>
      <w:proofErr w:type="gramStart"/>
      <w:r w:rsidRPr="00285102">
        <w:t>);</w:t>
      </w:r>
      <w:proofErr w:type="gramEnd"/>
    </w:p>
    <w:p w14:paraId="6FF36A78" w14:textId="77777777" w:rsidR="00B46952" w:rsidRPr="00285102" w:rsidRDefault="00B46952" w:rsidP="00B46952">
      <w:pPr>
        <w:pStyle w:val="ListParagraph"/>
        <w:numPr>
          <w:ilvl w:val="0"/>
          <w:numId w:val="19"/>
        </w:numPr>
      </w:pPr>
      <w:r w:rsidRPr="00285102">
        <w:t>without the word ‘NOT’, the sentence in yellow would have no effect (since it describes a case with no failed checks), and GBCS would not require any flagging to the supplier of the failure of the authenticity checks in the two bullets above the highlighted sentence;</w:t>
      </w:r>
    </w:p>
    <w:p w14:paraId="68486C09" w14:textId="77777777" w:rsidR="00B46952" w:rsidRPr="00285102" w:rsidRDefault="00B46952" w:rsidP="00B46952">
      <w:pPr>
        <w:pStyle w:val="ListParagraph"/>
        <w:numPr>
          <w:ilvl w:val="0"/>
          <w:numId w:val="19"/>
        </w:numPr>
      </w:pPr>
      <w:r w:rsidRPr="00285102">
        <w:t>with the word ‘NOT’ in the yellow highlighted sentence, all of the authenticity checks in Section 14.7.4.1.3 result in the failed check actions at 6.2.4.2</w:t>
      </w:r>
      <w:r w:rsidRPr="00285102">
        <w:rPr>
          <w:rStyle w:val="FootnoteReference"/>
        </w:rPr>
        <w:footnoteReference w:id="1"/>
      </w:r>
      <w:r w:rsidRPr="00285102">
        <w:t xml:space="preserve"> as intended, so the supplier being notified (all other authenticity checks already explicitly require this).</w:t>
      </w:r>
    </w:p>
    <w:p w14:paraId="3D658B95" w14:textId="77777777" w:rsidR="00B46952" w:rsidRPr="00285102" w:rsidRDefault="00B46952" w:rsidP="00B46952">
      <w:r w:rsidRPr="00285102">
        <w:t>Further:</w:t>
      </w:r>
    </w:p>
    <w:p w14:paraId="7BA8A5B2" w14:textId="77777777" w:rsidR="00B46952" w:rsidRPr="00285102" w:rsidRDefault="00B46952" w:rsidP="00B46952">
      <w:pPr>
        <w:pStyle w:val="ListParagraph"/>
        <w:numPr>
          <w:ilvl w:val="0"/>
          <w:numId w:val="21"/>
        </w:numPr>
      </w:pPr>
      <w:r w:rsidRPr="00285102">
        <w:t>unlike a GSME</w:t>
      </w:r>
      <w:r w:rsidRPr="00285102">
        <w:rPr>
          <w:rStyle w:val="FootnoteReference"/>
        </w:rPr>
        <w:footnoteReference w:id="2"/>
      </w:r>
      <w:r w:rsidRPr="00285102">
        <w:t>, an ESME can support more than one PPMID in its Device Log</w:t>
      </w:r>
      <w:r w:rsidRPr="00285102">
        <w:rPr>
          <w:rStyle w:val="FootnoteReference"/>
        </w:rPr>
        <w:footnoteReference w:id="3"/>
      </w:r>
      <w:r w:rsidRPr="00285102">
        <w:t>, and so the ESME authentication bullet should refer to ‘a PPMID’ not ‘the PPMID’;</w:t>
      </w:r>
    </w:p>
    <w:p w14:paraId="0FE9A450" w14:textId="0AE1B7C4" w:rsidR="00B46952" w:rsidRPr="00285102" w:rsidRDefault="00B46952" w:rsidP="00B46952">
      <w:pPr>
        <w:pStyle w:val="ListParagraph"/>
        <w:numPr>
          <w:ilvl w:val="0"/>
          <w:numId w:val="21"/>
        </w:numPr>
      </w:pPr>
      <w:r w:rsidRPr="00285102">
        <w:t xml:space="preserve">the checks referring to </w:t>
      </w:r>
      <w:proofErr w:type="gramStart"/>
      <w:r w:rsidRPr="00285102">
        <w:t>SME.C.PPMID</w:t>
      </w:r>
      <w:proofErr w:type="gramEnd"/>
      <w:r w:rsidRPr="00285102">
        <w:t xml:space="preserve">-GSME apply to the PCS01 Command sent by the PPMID and are detailed in two sections (6.2.4.1.1 Message Identifier Validation &amp; 6.2.4.1.3 PPMID-GSME MAC Verification). </w:t>
      </w:r>
      <w:r w:rsidR="00285102">
        <w:t xml:space="preserve"> </w:t>
      </w:r>
      <w:r w:rsidRPr="00285102">
        <w:t xml:space="preserve">In Section 6.2.4.1.1, one check relates to the Business Originator ID. </w:t>
      </w:r>
      <w:r w:rsidR="00285102">
        <w:t xml:space="preserve"> </w:t>
      </w:r>
      <w:r w:rsidRPr="00285102">
        <w:t xml:space="preserve">GBCS defines Business Originator as the sender of the Command. </w:t>
      </w:r>
      <w:r w:rsidR="00285102">
        <w:t xml:space="preserve"> </w:t>
      </w:r>
      <w:r w:rsidRPr="00285102">
        <w:t xml:space="preserve">For PCS01, the sender is the PPMID and so the Business Originator ID is </w:t>
      </w:r>
      <w:bookmarkStart w:id="0" w:name="_Hlk32821375"/>
      <w:r w:rsidRPr="00285102">
        <w:t xml:space="preserve">the ‘PPMID entity ID’ from the PCS01 Command. </w:t>
      </w:r>
      <w:r w:rsidR="00285102">
        <w:t xml:space="preserve"> </w:t>
      </w:r>
      <w:r w:rsidRPr="00285102">
        <w:t xml:space="preserve">Similarly, the Business Target ID in another check is the ‘Meter entity ID’ </w:t>
      </w:r>
      <w:bookmarkEnd w:id="0"/>
      <w:r w:rsidRPr="00285102">
        <w:t>from the PCS01 Command.</w:t>
      </w:r>
    </w:p>
    <w:p w14:paraId="11515447" w14:textId="77777777" w:rsidR="00B46952" w:rsidRPr="00285102" w:rsidRDefault="00B46952" w:rsidP="00B46952">
      <w:r w:rsidRPr="00285102">
        <w:t>The proposed position is therefore to revise the drafting in Section 14.7.4.1.3 to:</w:t>
      </w:r>
    </w:p>
    <w:p w14:paraId="781AD8A5" w14:textId="4E4C3A61" w:rsidR="00B46952" w:rsidRPr="00285102" w:rsidRDefault="00B46952" w:rsidP="00285102">
      <w:pPr>
        <w:pStyle w:val="ListParagraph"/>
        <w:numPr>
          <w:ilvl w:val="0"/>
          <w:numId w:val="22"/>
        </w:numPr>
      </w:pPr>
      <w:r w:rsidRPr="00285102">
        <w:t xml:space="preserve">add the word </w:t>
      </w:r>
      <w:r w:rsidR="00285102">
        <w:t>‘</w:t>
      </w:r>
      <w:r w:rsidRPr="00285102">
        <w:t>NOT</w:t>
      </w:r>
      <w:r w:rsidR="00285102">
        <w:t>’</w:t>
      </w:r>
      <w:r w:rsidRPr="00285102">
        <w:t xml:space="preserve"> to ensure all failed authentication checks result in the same actions (rather than all bar the Smart Meter, Device-to-Device cryptographic check when there is a PPMID in its Device Log);</w:t>
      </w:r>
    </w:p>
    <w:p w14:paraId="38F61C44" w14:textId="77777777" w:rsidR="00B46952" w:rsidRPr="00285102" w:rsidRDefault="00B46952" w:rsidP="00285102">
      <w:pPr>
        <w:pStyle w:val="ListParagraph"/>
        <w:numPr>
          <w:ilvl w:val="0"/>
          <w:numId w:val="22"/>
        </w:numPr>
      </w:pPr>
      <w:r w:rsidRPr="00285102">
        <w:t>to add clarification that the 6.2.4.2 processing relates to failed checks;</w:t>
      </w:r>
    </w:p>
    <w:p w14:paraId="54A72CF3" w14:textId="77777777" w:rsidR="00B46952" w:rsidRPr="00285102" w:rsidRDefault="00B46952" w:rsidP="00285102">
      <w:pPr>
        <w:pStyle w:val="ListParagraph"/>
        <w:numPr>
          <w:ilvl w:val="0"/>
          <w:numId w:val="22"/>
        </w:numPr>
      </w:pPr>
      <w:r w:rsidRPr="00285102">
        <w:t>to change ‘the PPMID’ to ‘a PPMID’ to reflect the fact that an ESME Device Log can contain more than one PPMID; and</w:t>
      </w:r>
    </w:p>
    <w:p w14:paraId="2C7454B9" w14:textId="77777777" w:rsidR="00B46952" w:rsidRPr="00285102" w:rsidRDefault="00B46952" w:rsidP="00285102">
      <w:pPr>
        <w:pStyle w:val="ListParagraph"/>
        <w:numPr>
          <w:ilvl w:val="0"/>
          <w:numId w:val="22"/>
        </w:numPr>
      </w:pPr>
      <w:r w:rsidRPr="00285102">
        <w:t>to add clarification as to the values that are the Business Originator ID and Business Target ID in PCS01 Commands to be used in GBCS 6.2.4.1.1 checks by the GSME.</w:t>
      </w:r>
    </w:p>
    <w:p w14:paraId="05E30D02" w14:textId="5D68820A" w:rsidR="00B46952" w:rsidRPr="00285102" w:rsidRDefault="00B46952" w:rsidP="00B46952">
      <w:r w:rsidRPr="00285102">
        <w:t>Note that any failed authentication in relation to UTRN entry is subject to the SMETS Smart Meter requirement</w:t>
      </w:r>
      <w:r w:rsidRPr="00285102">
        <w:rPr>
          <w:rStyle w:val="FootnoteReference"/>
        </w:rPr>
        <w:footnoteReference w:id="4"/>
      </w:r>
      <w:r w:rsidRPr="00285102">
        <w:t xml:space="preserve"> that the Smart Meter controls the rate at which further attempts are made, and so controls the rate at which such Alerts could be generated, across all failed authentication reasons. </w:t>
      </w:r>
      <w:r w:rsidR="00285102">
        <w:t xml:space="preserve"> </w:t>
      </w:r>
      <w:r w:rsidRPr="00285102">
        <w:t>During any period of non-acceptance following a failed authentication, any Prepayment Top Up Command from a PPMID must be discarded by the Smart Meter without processing the UTRN in the Command.</w:t>
      </w:r>
    </w:p>
    <w:p w14:paraId="38C4F773" w14:textId="00BA5AB5" w:rsidR="00A748D4" w:rsidRPr="00285102" w:rsidRDefault="00A748D4" w:rsidP="00346C79">
      <w:pPr>
        <w:rPr>
          <w:b/>
          <w:sz w:val="24"/>
          <w:szCs w:val="24"/>
        </w:rPr>
      </w:pPr>
      <w:r w:rsidRPr="00285102">
        <w:rPr>
          <w:b/>
          <w:sz w:val="24"/>
          <w:szCs w:val="24"/>
        </w:rPr>
        <w:lastRenderedPageBreak/>
        <w:t>Interoperability and /or Compatibility</w:t>
      </w:r>
    </w:p>
    <w:p w14:paraId="5ACD03FC" w14:textId="77777777" w:rsidR="00B46952" w:rsidRPr="00382AFD" w:rsidRDefault="00B46952" w:rsidP="00B46952">
      <w:pPr>
        <w:rPr>
          <w:rFonts w:eastAsia="Times New Roman" w:cs="Arial"/>
          <w:color w:val="000000"/>
          <w:sz w:val="20"/>
          <w:szCs w:val="20"/>
          <w:lang w:eastAsia="en-GB"/>
        </w:rPr>
      </w:pPr>
      <w:r w:rsidRPr="00382AFD">
        <w:rPr>
          <w:rFonts w:eastAsia="Times New Roman" w:cs="Arial"/>
          <w:color w:val="000000"/>
          <w:sz w:val="20"/>
          <w:szCs w:val="20"/>
          <w:lang w:eastAsia="en-GB"/>
        </w:rPr>
        <w:t>The changes do not have any impact on message format or content, and so do not impact on interactions between DCC Systems and Devices.</w:t>
      </w:r>
    </w:p>
    <w:p w14:paraId="061EC0E7" w14:textId="77777777" w:rsidR="00B46952" w:rsidRPr="00382AFD" w:rsidRDefault="00B46952" w:rsidP="00B46952">
      <w:pPr>
        <w:rPr>
          <w:rFonts w:eastAsia="Times New Roman" w:cs="Arial"/>
          <w:color w:val="000000"/>
          <w:sz w:val="20"/>
          <w:szCs w:val="20"/>
          <w:lang w:eastAsia="en-GB"/>
        </w:rPr>
      </w:pPr>
      <w:r w:rsidRPr="00382AFD">
        <w:rPr>
          <w:rFonts w:eastAsia="Times New Roman" w:cs="Arial"/>
          <w:color w:val="000000"/>
          <w:sz w:val="20"/>
          <w:szCs w:val="20"/>
          <w:lang w:eastAsia="en-GB"/>
        </w:rPr>
        <w:t xml:space="preserve">Where a Smart Meter has implemented without the word NOT in the yellow text, it will </w:t>
      </w:r>
      <w:proofErr w:type="gramStart"/>
      <w:r w:rsidRPr="00382AFD">
        <w:rPr>
          <w:rFonts w:eastAsia="Times New Roman" w:cs="Arial"/>
          <w:color w:val="000000"/>
          <w:sz w:val="20"/>
          <w:szCs w:val="20"/>
          <w:lang w:eastAsia="en-GB"/>
        </w:rPr>
        <w:t>alert</w:t>
      </w:r>
      <w:proofErr w:type="gramEnd"/>
      <w:r w:rsidRPr="00382AFD">
        <w:rPr>
          <w:rFonts w:eastAsia="Times New Roman" w:cs="Arial"/>
          <w:color w:val="000000"/>
          <w:sz w:val="20"/>
          <w:szCs w:val="20"/>
          <w:lang w:eastAsia="en-GB"/>
        </w:rPr>
        <w:t xml:space="preserve"> and log failed UTRN authentication in all cases </w:t>
      </w:r>
      <w:r w:rsidRPr="00382AFD">
        <w:rPr>
          <w:rFonts w:eastAsia="Times New Roman" w:cs="Arial"/>
          <w:b/>
          <w:bCs/>
          <w:color w:val="000000"/>
          <w:sz w:val="20"/>
          <w:szCs w:val="20"/>
          <w:u w:val="single"/>
          <w:lang w:eastAsia="en-GB"/>
        </w:rPr>
        <w:t>except</w:t>
      </w:r>
      <w:r w:rsidRPr="00382AFD">
        <w:rPr>
          <w:rFonts w:eastAsia="Times New Roman" w:cs="Arial"/>
          <w:color w:val="000000"/>
          <w:sz w:val="20"/>
          <w:szCs w:val="20"/>
          <w:lang w:eastAsia="en-GB"/>
        </w:rPr>
        <w:t xml:space="preserve"> the case where:</w:t>
      </w:r>
    </w:p>
    <w:p w14:paraId="64DB160A" w14:textId="21BE3F56" w:rsidR="00B46952" w:rsidRPr="00382AFD" w:rsidRDefault="00285102" w:rsidP="00B46952">
      <w:pPr>
        <w:pStyle w:val="ListParagraph"/>
        <w:numPr>
          <w:ilvl w:val="0"/>
          <w:numId w:val="20"/>
        </w:numPr>
        <w:rPr>
          <w:rFonts w:eastAsia="Times New Roman" w:cs="Arial"/>
          <w:color w:val="000000"/>
          <w:sz w:val="20"/>
          <w:szCs w:val="20"/>
          <w:lang w:eastAsia="en-GB"/>
        </w:rPr>
      </w:pPr>
      <w:r>
        <w:rPr>
          <w:rFonts w:eastAsia="Times New Roman" w:cs="Arial"/>
          <w:color w:val="000000"/>
          <w:sz w:val="20"/>
          <w:szCs w:val="20"/>
          <w:lang w:eastAsia="en-GB"/>
        </w:rPr>
        <w:t>t</w:t>
      </w:r>
      <w:r w:rsidR="00B46952" w:rsidRPr="00382AFD">
        <w:rPr>
          <w:rFonts w:eastAsia="Times New Roman" w:cs="Arial"/>
          <w:color w:val="000000"/>
          <w:sz w:val="20"/>
          <w:szCs w:val="20"/>
          <w:lang w:eastAsia="en-GB"/>
        </w:rPr>
        <w:t>here is a PPMID in the Smart Meters Device Log; and</w:t>
      </w:r>
    </w:p>
    <w:p w14:paraId="43E95958" w14:textId="373DAF9D" w:rsidR="00B46952" w:rsidRPr="00382AFD" w:rsidRDefault="00285102" w:rsidP="00B46952">
      <w:pPr>
        <w:pStyle w:val="ListParagraph"/>
        <w:numPr>
          <w:ilvl w:val="0"/>
          <w:numId w:val="20"/>
        </w:numPr>
        <w:rPr>
          <w:rFonts w:eastAsia="Times New Roman" w:cs="Arial"/>
          <w:color w:val="000000"/>
          <w:sz w:val="20"/>
          <w:szCs w:val="20"/>
          <w:lang w:eastAsia="en-GB"/>
        </w:rPr>
      </w:pPr>
      <w:r>
        <w:rPr>
          <w:rFonts w:eastAsia="Times New Roman" w:cs="Arial"/>
          <w:color w:val="000000"/>
          <w:sz w:val="20"/>
          <w:szCs w:val="20"/>
          <w:lang w:eastAsia="en-GB"/>
        </w:rPr>
        <w:t>a</w:t>
      </w:r>
      <w:r w:rsidR="00B46952" w:rsidRPr="00382AFD">
        <w:rPr>
          <w:rFonts w:eastAsia="Times New Roman" w:cs="Arial"/>
          <w:color w:val="000000"/>
          <w:sz w:val="20"/>
          <w:szCs w:val="20"/>
          <w:lang w:eastAsia="en-GB"/>
        </w:rPr>
        <w:t xml:space="preserve"> UTRN top up is received which was not authentically created by that PPMID (e.g. it was created by another HAN Device which is not authorised by the Supplier)</w:t>
      </w:r>
      <w:r>
        <w:rPr>
          <w:rFonts w:eastAsia="Times New Roman" w:cs="Arial"/>
          <w:color w:val="000000"/>
          <w:sz w:val="20"/>
          <w:szCs w:val="20"/>
          <w:lang w:eastAsia="en-GB"/>
        </w:rPr>
        <w:t>.</w:t>
      </w:r>
    </w:p>
    <w:p w14:paraId="5954DDE4" w14:textId="77777777" w:rsidR="00285102" w:rsidRDefault="00285102" w:rsidP="001F4E42">
      <w:pPr>
        <w:rPr>
          <w:b/>
          <w:sz w:val="24"/>
          <w:szCs w:val="24"/>
        </w:rPr>
      </w:pPr>
    </w:p>
    <w:p w14:paraId="31901650" w14:textId="5486FAEB" w:rsidR="001F4E42" w:rsidRDefault="001F4E42" w:rsidP="001F4E42">
      <w:pPr>
        <w:rPr>
          <w:b/>
          <w:sz w:val="24"/>
          <w:szCs w:val="24"/>
        </w:rPr>
      </w:pPr>
      <w:r>
        <w:rPr>
          <w:b/>
          <w:sz w:val="24"/>
          <w:szCs w:val="24"/>
        </w:rPr>
        <w:t>Required Changes to Documentation</w:t>
      </w:r>
      <w:r w:rsidRPr="000067E6">
        <w:rPr>
          <w:b/>
          <w:sz w:val="24"/>
          <w:szCs w:val="24"/>
        </w:rPr>
        <w:t>:</w:t>
      </w:r>
    </w:p>
    <w:p w14:paraId="601A9468" w14:textId="7D67CFD3" w:rsidR="00B46952" w:rsidRDefault="00B46952" w:rsidP="00B46952">
      <w:pPr>
        <w:rPr>
          <w:sz w:val="20"/>
          <w:szCs w:val="20"/>
        </w:rPr>
      </w:pPr>
      <w:r w:rsidRPr="00382AFD">
        <w:rPr>
          <w:sz w:val="20"/>
          <w:szCs w:val="20"/>
        </w:rPr>
        <w:t>Amend the text in GBCS Section 14.7.4.1.3 as shown:</w:t>
      </w:r>
    </w:p>
    <w:p w14:paraId="129CBDED" w14:textId="503F5CFD" w:rsidR="006D41CC" w:rsidRPr="00382AFD" w:rsidRDefault="006D41CC" w:rsidP="00B46952">
      <w:pPr>
        <w:rPr>
          <w:sz w:val="20"/>
          <w:szCs w:val="20"/>
        </w:rPr>
      </w:pPr>
      <w:r>
        <w:rPr>
          <w:noProof/>
        </w:rPr>
        <w:drawing>
          <wp:inline distT="0" distB="0" distL="0" distR="0" wp14:anchorId="29DF263C" wp14:editId="5F77FEC9">
            <wp:extent cx="5760720" cy="36753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675380"/>
                    </a:xfrm>
                    <a:prstGeom prst="rect">
                      <a:avLst/>
                    </a:prstGeom>
                  </pic:spPr>
                </pic:pic>
              </a:graphicData>
            </a:graphic>
          </wp:inline>
        </w:drawing>
      </w:r>
    </w:p>
    <w:p w14:paraId="208CF3FB" w14:textId="745CB4A4" w:rsidR="00346C79" w:rsidRPr="003E0DC2" w:rsidRDefault="00346C79" w:rsidP="00346C79">
      <w:pPr>
        <w:rPr>
          <w:i/>
          <w:sz w:val="20"/>
          <w:szCs w:val="20"/>
        </w:rPr>
      </w:pPr>
      <w:r w:rsidRPr="003E0DC2">
        <w:rPr>
          <w:i/>
          <w:sz w:val="20"/>
          <w:szCs w:val="20"/>
        </w:rPr>
        <w:t>&lt;run on as is…&gt;</w:t>
      </w:r>
    </w:p>
    <w:p w14:paraId="5763F312" w14:textId="1A97B5CB" w:rsidR="0032090F" w:rsidRPr="0032090F" w:rsidRDefault="0032090F" w:rsidP="0032090F">
      <w:r>
        <w:t xml:space="preserve"> </w:t>
      </w:r>
    </w:p>
    <w:tbl>
      <w:tblPr>
        <w:tblStyle w:val="TableGrid"/>
        <w:tblW w:w="0" w:type="auto"/>
        <w:tblCellMar>
          <w:top w:w="85" w:type="dxa"/>
          <w:bottom w:w="85" w:type="dxa"/>
        </w:tblCellMar>
        <w:tblLook w:val="04A0" w:firstRow="1" w:lastRow="0" w:firstColumn="1" w:lastColumn="0" w:noHBand="0" w:noVBand="1"/>
      </w:tblPr>
      <w:tblGrid>
        <w:gridCol w:w="3867"/>
        <w:gridCol w:w="5195"/>
      </w:tblGrid>
      <w:tr w:rsidR="001F4E42" w:rsidRPr="004970ED" w14:paraId="540F418B" w14:textId="77777777" w:rsidTr="004D2893">
        <w:tc>
          <w:tcPr>
            <w:tcW w:w="3936" w:type="dxa"/>
          </w:tcPr>
          <w:p w14:paraId="3070E8F5" w14:textId="77777777" w:rsidR="001F4E42" w:rsidRPr="004E19A4" w:rsidRDefault="00EA2483" w:rsidP="00EA2483">
            <w:pPr>
              <w:pStyle w:val="NoSpacing"/>
              <w:rPr>
                <w:b/>
              </w:rPr>
            </w:pPr>
            <w:r>
              <w:rPr>
                <w:b/>
              </w:rPr>
              <w:t xml:space="preserve">Proposed specification </w:t>
            </w:r>
            <w:r w:rsidRPr="004E19A4">
              <w:rPr>
                <w:b/>
              </w:rPr>
              <w:t>version for incorporation</w:t>
            </w:r>
          </w:p>
        </w:tc>
        <w:tc>
          <w:tcPr>
            <w:tcW w:w="5306" w:type="dxa"/>
          </w:tcPr>
          <w:p w14:paraId="76A5DCA9" w14:textId="7AA084FD" w:rsidR="001F4E42" w:rsidRPr="004970ED" w:rsidRDefault="00346C79" w:rsidP="008F1528">
            <w:pPr>
              <w:pStyle w:val="NoSpacing"/>
            </w:pPr>
            <w:r>
              <w:t>TBC</w:t>
            </w:r>
          </w:p>
        </w:tc>
      </w:tr>
      <w:tr w:rsidR="001F4E42" w:rsidRPr="004970ED" w14:paraId="3F4A90C0" w14:textId="77777777" w:rsidTr="004D2893">
        <w:tc>
          <w:tcPr>
            <w:tcW w:w="3936" w:type="dxa"/>
          </w:tcPr>
          <w:p w14:paraId="68525EF7" w14:textId="77777777" w:rsidR="001F4E42" w:rsidRPr="004E19A4" w:rsidRDefault="001F4E42" w:rsidP="008F1528">
            <w:pPr>
              <w:pStyle w:val="NoSpacing"/>
              <w:rPr>
                <w:b/>
              </w:rPr>
            </w:pPr>
            <w:r>
              <w:rPr>
                <w:b/>
              </w:rPr>
              <w:t>Impact on previous IRP</w:t>
            </w:r>
            <w:r w:rsidRPr="004E19A4">
              <w:rPr>
                <w:b/>
              </w:rPr>
              <w:t>s</w:t>
            </w:r>
          </w:p>
        </w:tc>
        <w:tc>
          <w:tcPr>
            <w:tcW w:w="5306" w:type="dxa"/>
          </w:tcPr>
          <w:p w14:paraId="3B121208" w14:textId="77777777" w:rsidR="001F4E42" w:rsidRPr="004970ED" w:rsidRDefault="001F4E42" w:rsidP="008F1528">
            <w:pPr>
              <w:pStyle w:val="NoSpacing"/>
            </w:pPr>
            <w:r>
              <w:t>None</w:t>
            </w:r>
          </w:p>
        </w:tc>
      </w:tr>
      <w:tr w:rsidR="001F4E42" w:rsidRPr="004970ED" w14:paraId="03FB551D" w14:textId="77777777" w:rsidTr="004D2893">
        <w:tc>
          <w:tcPr>
            <w:tcW w:w="3936" w:type="dxa"/>
          </w:tcPr>
          <w:p w14:paraId="2A9FF968" w14:textId="77777777" w:rsidR="001F4E42" w:rsidRPr="004E19A4" w:rsidRDefault="001F4E42" w:rsidP="008F1528">
            <w:pPr>
              <w:pStyle w:val="NoSpacing"/>
              <w:rPr>
                <w:b/>
              </w:rPr>
            </w:pPr>
            <w:r w:rsidRPr="004E19A4">
              <w:rPr>
                <w:b/>
              </w:rPr>
              <w:t>Attachment(s)</w:t>
            </w:r>
          </w:p>
        </w:tc>
        <w:tc>
          <w:tcPr>
            <w:tcW w:w="5306" w:type="dxa"/>
          </w:tcPr>
          <w:p w14:paraId="562FD496" w14:textId="77777777" w:rsidR="001F4E42" w:rsidRPr="004970ED" w:rsidRDefault="00AD632D" w:rsidP="00AD632D">
            <w:pPr>
              <w:pStyle w:val="NoSpacing"/>
            </w:pPr>
            <w:r>
              <w:t>None</w:t>
            </w:r>
          </w:p>
        </w:tc>
      </w:tr>
      <w:tr w:rsidR="004D2893" w14:paraId="43E2E453" w14:textId="77777777" w:rsidTr="004D2893">
        <w:tblPrEx>
          <w:tblCellMar>
            <w:top w:w="0" w:type="dxa"/>
            <w:bottom w:w="0" w:type="dxa"/>
          </w:tblCellMar>
        </w:tblPrEx>
        <w:trPr>
          <w:trHeight w:val="485"/>
        </w:trPr>
        <w:tc>
          <w:tcPr>
            <w:tcW w:w="3936" w:type="dxa"/>
          </w:tcPr>
          <w:p w14:paraId="657A87F0" w14:textId="77777777" w:rsidR="004D2893" w:rsidRDefault="004D2893" w:rsidP="00AB42EF">
            <w:pPr>
              <w:pStyle w:val="NoSpacing"/>
              <w:rPr>
                <w:b/>
              </w:rPr>
            </w:pPr>
            <w:r>
              <w:rPr>
                <w:b/>
              </w:rPr>
              <w:t>Affected Parties</w:t>
            </w:r>
          </w:p>
        </w:tc>
        <w:tc>
          <w:tcPr>
            <w:tcW w:w="5306" w:type="dxa"/>
          </w:tcPr>
          <w:p w14:paraId="1B4F14EF" w14:textId="44EDEAFB" w:rsidR="004D2893" w:rsidRPr="004D2893" w:rsidRDefault="004D2893" w:rsidP="004D2893">
            <w:pPr>
              <w:rPr>
                <w:rFonts w:eastAsia="Times New Roman" w:cs="Arial"/>
                <w:color w:val="000000"/>
                <w:szCs w:val="24"/>
                <w:lang w:eastAsia="en-GB"/>
              </w:rPr>
            </w:pPr>
            <w:r>
              <w:t xml:space="preserve">None </w:t>
            </w:r>
            <w:r w:rsidR="00D7474B">
              <w:t xml:space="preserve">but </w:t>
            </w:r>
            <w:r>
              <w:t xml:space="preserve">see </w:t>
            </w:r>
            <w:r w:rsidRPr="004D2893">
              <w:t>Interoperability and /or Compatibility</w:t>
            </w:r>
            <w:r>
              <w:t xml:space="preserve"> above</w:t>
            </w:r>
          </w:p>
        </w:tc>
      </w:tr>
    </w:tbl>
    <w:p w14:paraId="25C8ED1F" w14:textId="77777777" w:rsidR="00B46952" w:rsidRDefault="00B46952" w:rsidP="00B46952">
      <w:pPr>
        <w:spacing w:before="0" w:after="0"/>
      </w:pPr>
    </w:p>
    <w:p w14:paraId="3C2C4AFD" w14:textId="77777777" w:rsidR="00B46952" w:rsidRDefault="00B46952">
      <w:pPr>
        <w:spacing w:before="0" w:after="200" w:line="276" w:lineRule="auto"/>
        <w:rPr>
          <w:b/>
          <w:bCs/>
          <w:u w:val="single"/>
        </w:rPr>
      </w:pPr>
      <w:r>
        <w:rPr>
          <w:b/>
          <w:bCs/>
          <w:u w:val="single"/>
        </w:rPr>
        <w:br w:type="page"/>
      </w:r>
    </w:p>
    <w:p w14:paraId="283D7C87" w14:textId="08478E57" w:rsidR="00B46952" w:rsidRPr="008D64EF" w:rsidRDefault="00B46952" w:rsidP="00B46952">
      <w:pPr>
        <w:spacing w:before="0" w:after="200" w:line="276" w:lineRule="auto"/>
        <w:rPr>
          <w:b/>
          <w:bCs/>
          <w:u w:val="single"/>
        </w:rPr>
      </w:pPr>
      <w:r w:rsidRPr="008D64EF">
        <w:rPr>
          <w:b/>
          <w:bCs/>
          <w:u w:val="single"/>
        </w:rPr>
        <w:lastRenderedPageBreak/>
        <w:t>Annex A – applicability of GBCS 6.2.4.2 to Prepayment Top Up Command processing</w:t>
      </w:r>
    </w:p>
    <w:p w14:paraId="59DF1EB5" w14:textId="77777777" w:rsidR="00B46952" w:rsidRPr="00B46952" w:rsidRDefault="00B46952" w:rsidP="00B46952">
      <w:pPr>
        <w:rPr>
          <w:sz w:val="20"/>
          <w:szCs w:val="20"/>
        </w:rPr>
      </w:pPr>
      <w:r w:rsidRPr="00B46952">
        <w:rPr>
          <w:sz w:val="20"/>
          <w:szCs w:val="20"/>
        </w:rPr>
        <w:t xml:space="preserve">Prepayment Top Up Command processing is detailed in the 4 Use Cases in GBCS Section 14. For ‘Protection Against Replay </w:t>
      </w:r>
      <w:proofErr w:type="gramStart"/>
      <w:r w:rsidRPr="00B46952">
        <w:rPr>
          <w:sz w:val="20"/>
          <w:szCs w:val="20"/>
        </w:rPr>
        <w:t>Required?,</w:t>
      </w:r>
      <w:proofErr w:type="gramEnd"/>
      <w:r w:rsidRPr="00B46952">
        <w:rPr>
          <w:sz w:val="20"/>
          <w:szCs w:val="20"/>
        </w:rPr>
        <w:t xml:space="preserve"> the last three refer to the first Use Case, stating ‘See </w:t>
      </w:r>
      <w:bookmarkStart w:id="1" w:name="_Hlk32833652"/>
      <w:r w:rsidRPr="00B46952">
        <w:rPr>
          <w:sz w:val="20"/>
          <w:szCs w:val="20"/>
        </w:rPr>
        <w:t>Table 14.4.2’</w:t>
      </w:r>
      <w:bookmarkEnd w:id="1"/>
      <w:r w:rsidRPr="00B46952">
        <w:rPr>
          <w:sz w:val="20"/>
          <w:szCs w:val="20"/>
        </w:rPr>
        <w:t>. That Table states:</w:t>
      </w:r>
    </w:p>
    <w:p w14:paraId="5FA9F386" w14:textId="618A118C" w:rsidR="00B46952" w:rsidRPr="00B46952" w:rsidRDefault="00B46952" w:rsidP="00B46952">
      <w:pPr>
        <w:ind w:left="327"/>
        <w:rPr>
          <w:b/>
          <w:bCs/>
          <w:sz w:val="20"/>
          <w:szCs w:val="20"/>
          <w:u w:val="single"/>
        </w:rPr>
      </w:pPr>
      <w:r w:rsidRPr="00B46952">
        <w:rPr>
          <w:sz w:val="20"/>
          <w:szCs w:val="20"/>
        </w:rPr>
        <w:t xml:space="preserve">The Protection Against Replay mechanisms for Prepayment Top Ups are specified in Section </w:t>
      </w:r>
      <w:r w:rsidRPr="00B46952">
        <w:rPr>
          <w:sz w:val="20"/>
          <w:szCs w:val="20"/>
        </w:rPr>
        <w:fldChar w:fldCharType="begin"/>
      </w:r>
      <w:r w:rsidRPr="00B46952">
        <w:rPr>
          <w:sz w:val="20"/>
          <w:szCs w:val="20"/>
        </w:rPr>
        <w:instrText xml:space="preserve"> REF _Ref378606824 \r \h </w:instrText>
      </w:r>
      <w:r>
        <w:rPr>
          <w:sz w:val="20"/>
          <w:szCs w:val="20"/>
        </w:rPr>
        <w:instrText xml:space="preserve"> \* MERGEFORMAT </w:instrText>
      </w:r>
      <w:r w:rsidRPr="00B46952">
        <w:rPr>
          <w:sz w:val="20"/>
          <w:szCs w:val="20"/>
        </w:rPr>
      </w:r>
      <w:r w:rsidRPr="00B46952">
        <w:rPr>
          <w:sz w:val="20"/>
          <w:szCs w:val="20"/>
        </w:rPr>
        <w:fldChar w:fldCharType="separate"/>
      </w:r>
      <w:r w:rsidRPr="00B46952">
        <w:rPr>
          <w:sz w:val="20"/>
          <w:szCs w:val="20"/>
        </w:rPr>
        <w:t>14.3.6</w:t>
      </w:r>
      <w:r w:rsidRPr="00B46952">
        <w:rPr>
          <w:sz w:val="20"/>
          <w:szCs w:val="20"/>
        </w:rPr>
        <w:fldChar w:fldCharType="end"/>
      </w:r>
      <w:r w:rsidRPr="00B46952">
        <w:rPr>
          <w:sz w:val="20"/>
          <w:szCs w:val="20"/>
        </w:rPr>
        <w:t xml:space="preserve">. </w:t>
      </w:r>
      <w:r w:rsidRPr="00B46952">
        <w:rPr>
          <w:b/>
          <w:bCs/>
          <w:sz w:val="20"/>
          <w:szCs w:val="20"/>
          <w:u w:val="single"/>
        </w:rPr>
        <w:t>The Protection Against Replay mechanisms specified elsewhere in the GBCS do not apply</w:t>
      </w:r>
    </w:p>
    <w:p w14:paraId="15F0397E" w14:textId="77777777" w:rsidR="00B46952" w:rsidRPr="00B46952" w:rsidRDefault="00B46952" w:rsidP="00B46952">
      <w:pPr>
        <w:rPr>
          <w:sz w:val="20"/>
          <w:szCs w:val="20"/>
        </w:rPr>
      </w:pPr>
      <w:r w:rsidRPr="00B46952">
        <w:rPr>
          <w:sz w:val="20"/>
          <w:szCs w:val="20"/>
        </w:rPr>
        <w:t>Therefore ‘Protection Against Replay’ requirements do not apply to Prepayment Top Ups.</w:t>
      </w:r>
    </w:p>
    <w:p w14:paraId="3BDA5A22" w14:textId="77777777" w:rsidR="00B46952" w:rsidRPr="00B46952" w:rsidRDefault="00B46952" w:rsidP="00B46952">
      <w:pPr>
        <w:rPr>
          <w:sz w:val="20"/>
          <w:szCs w:val="20"/>
        </w:rPr>
      </w:pPr>
      <w:r w:rsidRPr="00B46952">
        <w:rPr>
          <w:sz w:val="20"/>
          <w:szCs w:val="20"/>
        </w:rPr>
        <w:t>Further, none of the Prepayment Top Ups Command types can be future-dated and so none contain activation date-times.</w:t>
      </w:r>
    </w:p>
    <w:p w14:paraId="42C0AF81" w14:textId="77777777" w:rsidR="00B46952" w:rsidRPr="00B46952" w:rsidRDefault="00B46952" w:rsidP="00B46952">
      <w:pPr>
        <w:rPr>
          <w:sz w:val="20"/>
          <w:szCs w:val="20"/>
        </w:rPr>
      </w:pPr>
      <w:r w:rsidRPr="00B46952">
        <w:rPr>
          <w:sz w:val="20"/>
          <w:szCs w:val="20"/>
        </w:rPr>
        <w:t>Therefore, and as per the mark up below, the only requirements that apply to Prepayment Top Up Command processing by a Smart Meter</w:t>
      </w:r>
      <w:r w:rsidRPr="00B46952">
        <w:rPr>
          <w:rStyle w:val="FootnoteReference"/>
          <w:sz w:val="20"/>
          <w:szCs w:val="20"/>
        </w:rPr>
        <w:footnoteReference w:id="5"/>
      </w:r>
      <w:r w:rsidRPr="00B46952">
        <w:rPr>
          <w:sz w:val="20"/>
          <w:szCs w:val="20"/>
        </w:rPr>
        <w:t xml:space="preserve"> are those actions required after one or more failed authentication checks. </w:t>
      </w:r>
      <w:proofErr w:type="gramStart"/>
      <w:r w:rsidRPr="00B46952">
        <w:rPr>
          <w:sz w:val="20"/>
          <w:szCs w:val="20"/>
        </w:rPr>
        <w:t>Specifically</w:t>
      </w:r>
      <w:proofErr w:type="gramEnd"/>
      <w:r w:rsidRPr="00B46952">
        <w:rPr>
          <w:sz w:val="20"/>
          <w:szCs w:val="20"/>
        </w:rPr>
        <w:t xml:space="preserve"> the following requirement is the only one which can apply:</w:t>
      </w:r>
    </w:p>
    <w:p w14:paraId="7519C9F1" w14:textId="77777777" w:rsidR="00B46952" w:rsidRPr="00B46952" w:rsidRDefault="00B46952" w:rsidP="00B46952">
      <w:pPr>
        <w:ind w:left="327"/>
        <w:rPr>
          <w:i/>
          <w:iCs/>
          <w:sz w:val="20"/>
          <w:szCs w:val="20"/>
        </w:rPr>
      </w:pPr>
      <w:r w:rsidRPr="00B46952">
        <w:rPr>
          <w:i/>
          <w:iCs/>
          <w:sz w:val="20"/>
          <w:szCs w:val="20"/>
        </w:rPr>
        <w:t>Where … any of the other prior required checks for this type of Command have failed, the Device shall:</w:t>
      </w:r>
    </w:p>
    <w:p w14:paraId="796519D5" w14:textId="77777777" w:rsidR="00B46952" w:rsidRPr="00B46952" w:rsidRDefault="00B46952" w:rsidP="00B46952">
      <w:pPr>
        <w:ind w:left="327"/>
        <w:rPr>
          <w:i/>
          <w:iCs/>
          <w:sz w:val="20"/>
          <w:szCs w:val="20"/>
        </w:rPr>
      </w:pPr>
      <w:r w:rsidRPr="00B46952">
        <w:rPr>
          <w:i/>
          <w:iCs/>
          <w:sz w:val="20"/>
          <w:szCs w:val="20"/>
        </w:rPr>
        <w:t>•</w:t>
      </w:r>
      <w:r w:rsidRPr="00B46952">
        <w:rPr>
          <w:i/>
          <w:iCs/>
          <w:sz w:val="20"/>
          <w:szCs w:val="20"/>
        </w:rPr>
        <w:tab/>
        <w:t>generate an entry in the Security Log recording failed Authentication;</w:t>
      </w:r>
    </w:p>
    <w:p w14:paraId="369D072D" w14:textId="77777777" w:rsidR="00B46952" w:rsidRPr="00B46952" w:rsidRDefault="00B46952" w:rsidP="00B46952">
      <w:pPr>
        <w:ind w:left="327"/>
        <w:rPr>
          <w:i/>
          <w:iCs/>
          <w:sz w:val="20"/>
          <w:szCs w:val="20"/>
        </w:rPr>
      </w:pPr>
      <w:r w:rsidRPr="00B46952">
        <w:rPr>
          <w:i/>
          <w:iCs/>
          <w:sz w:val="20"/>
          <w:szCs w:val="20"/>
        </w:rPr>
        <w:t>•</w:t>
      </w:r>
      <w:r w:rsidRPr="00B46952">
        <w:rPr>
          <w:i/>
          <w:iCs/>
          <w:sz w:val="20"/>
          <w:szCs w:val="20"/>
        </w:rPr>
        <w:tab/>
        <w:t>discard the Command without execution and without sending a Response; and</w:t>
      </w:r>
    </w:p>
    <w:p w14:paraId="41291A7F" w14:textId="77777777" w:rsidR="00B46952" w:rsidRPr="00B46952" w:rsidRDefault="00B46952" w:rsidP="00B46952">
      <w:pPr>
        <w:ind w:left="327"/>
        <w:rPr>
          <w:i/>
          <w:iCs/>
          <w:sz w:val="20"/>
          <w:szCs w:val="20"/>
        </w:rPr>
      </w:pPr>
      <w:r w:rsidRPr="00B46952">
        <w:rPr>
          <w:i/>
          <w:iCs/>
          <w:sz w:val="20"/>
          <w:szCs w:val="20"/>
        </w:rPr>
        <w:t>•</w:t>
      </w:r>
      <w:r w:rsidRPr="00B46952">
        <w:rPr>
          <w:i/>
          <w:iCs/>
          <w:sz w:val="20"/>
          <w:szCs w:val="20"/>
        </w:rPr>
        <w:tab/>
        <w:t>send an Alert notifying the failed Authentication, constructed as specified in Section 6.7, populated with the relevant Alert Code from Section 16 (the one of 0x8F1E, 0x8F30 or 0x8F3D that is required), to the Known Remote Party specified in Section 16.  If the Device is an ESME or a CHF, the Alert Payload shall be a DLMS COSEM Alert Payload.  Otherwise, the Alert Payload shall be a GBZ Alert Payload.</w:t>
      </w:r>
    </w:p>
    <w:p w14:paraId="60EA491C" w14:textId="77777777" w:rsidR="00B46952" w:rsidRPr="001E227B" w:rsidRDefault="00B46952" w:rsidP="00B46952"/>
    <w:p w14:paraId="5BFCEC1C" w14:textId="245AA78C" w:rsidR="00954AFF" w:rsidRPr="00B26657" w:rsidRDefault="00B46952" w:rsidP="00B46952">
      <w:pPr>
        <w:spacing w:before="0" w:after="200" w:line="276" w:lineRule="auto"/>
      </w:pPr>
      <w:r>
        <w:rPr>
          <w:noProof/>
        </w:rPr>
        <w:drawing>
          <wp:inline distT="0" distB="0" distL="0" distR="0" wp14:anchorId="01741405" wp14:editId="37571F5B">
            <wp:extent cx="5189517" cy="375027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23452" cy="3774797"/>
                    </a:xfrm>
                    <a:prstGeom prst="rect">
                      <a:avLst/>
                    </a:prstGeom>
                  </pic:spPr>
                </pic:pic>
              </a:graphicData>
            </a:graphic>
          </wp:inline>
        </w:drawing>
      </w:r>
    </w:p>
    <w:sectPr w:rsidR="00954AFF" w:rsidRPr="00B26657" w:rsidSect="00420DC1">
      <w:headerReference w:type="even" r:id="rId14"/>
      <w:headerReference w:type="default" r:id="rId15"/>
      <w:footerReference w:type="even" r:id="rId16"/>
      <w:footerReference w:type="default" r:id="rId17"/>
      <w:headerReference w:type="first" r:id="rId18"/>
      <w:footerReference w:type="first" r:id="rId19"/>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70312" w14:textId="77777777" w:rsidR="00074F67" w:rsidRDefault="00074F67" w:rsidP="001A1E90">
      <w:pPr>
        <w:spacing w:after="0"/>
      </w:pPr>
      <w:r>
        <w:separator/>
      </w:r>
    </w:p>
  </w:endnote>
  <w:endnote w:type="continuationSeparator" w:id="0">
    <w:p w14:paraId="73F6EA13" w14:textId="77777777" w:rsidR="00074F67" w:rsidRDefault="00074F67"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47136" w14:textId="77777777" w:rsidR="00E94FB8" w:rsidRDefault="00E94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CA0B7" w14:textId="77777777" w:rsidR="008F1528" w:rsidRDefault="008F1528">
    <w:pPr>
      <w:pStyle w:val="Footer"/>
    </w:pPr>
    <w:r>
      <w:tab/>
    </w:r>
    <w:r>
      <w:fldChar w:fldCharType="begin"/>
    </w:r>
    <w:r>
      <w:instrText xml:space="preserve"> PAGE   \* MERGEFORMAT </w:instrText>
    </w:r>
    <w:r>
      <w:fldChar w:fldCharType="separate"/>
    </w:r>
    <w:r w:rsidR="00A748D4">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09F8" w14:textId="77777777" w:rsidR="00E94FB8" w:rsidRDefault="00E94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D46DC" w14:textId="77777777" w:rsidR="00074F67" w:rsidRDefault="00074F67" w:rsidP="001A1E90">
      <w:pPr>
        <w:spacing w:after="0"/>
      </w:pPr>
      <w:r>
        <w:separator/>
      </w:r>
    </w:p>
  </w:footnote>
  <w:footnote w:type="continuationSeparator" w:id="0">
    <w:p w14:paraId="6030CE79" w14:textId="77777777" w:rsidR="00074F67" w:rsidRDefault="00074F67" w:rsidP="001A1E90">
      <w:pPr>
        <w:spacing w:after="0"/>
      </w:pPr>
      <w:r>
        <w:continuationSeparator/>
      </w:r>
    </w:p>
  </w:footnote>
  <w:footnote w:id="1">
    <w:p w14:paraId="7276CA5C" w14:textId="74EBAA6F" w:rsidR="00B46952" w:rsidRDefault="00B46952" w:rsidP="00B46952">
      <w:r w:rsidRPr="00382AFD">
        <w:rPr>
          <w:rStyle w:val="FootnoteReference"/>
          <w:sz w:val="16"/>
          <w:szCs w:val="16"/>
        </w:rPr>
        <w:footnoteRef/>
      </w:r>
      <w:r w:rsidRPr="00382AFD">
        <w:rPr>
          <w:sz w:val="16"/>
          <w:szCs w:val="16"/>
        </w:rPr>
        <w:t xml:space="preserve">Section 14.6.4.1 </w:t>
      </w:r>
      <w:proofErr w:type="gramStart"/>
      <w:r w:rsidRPr="00382AFD">
        <w:rPr>
          <w:sz w:val="16"/>
          <w:szCs w:val="16"/>
        </w:rPr>
        <w:t>states</w:t>
      </w:r>
      <w:proofErr w:type="gramEnd"/>
      <w:r w:rsidRPr="00382AFD">
        <w:rPr>
          <w:sz w:val="16"/>
          <w:szCs w:val="16"/>
        </w:rPr>
        <w:t xml:space="preserve"> ‘</w:t>
      </w:r>
      <w:r w:rsidRPr="00421CC8">
        <w:rPr>
          <w:i/>
          <w:iCs/>
          <w:sz w:val="16"/>
          <w:szCs w:val="16"/>
        </w:rPr>
        <w:t>Should any of the checks fail (save for the optional UTRN Check Digit verification), the requirements of Section 6.2.4.2 shall apply.’</w:t>
      </w:r>
      <w:r w:rsidRPr="00382AFD">
        <w:rPr>
          <w:sz w:val="16"/>
          <w:szCs w:val="16"/>
        </w:rPr>
        <w:t xml:space="preserve">. </w:t>
      </w:r>
      <w:r w:rsidR="00D7474B" w:rsidRPr="00382AFD">
        <w:rPr>
          <w:sz w:val="16"/>
          <w:szCs w:val="16"/>
        </w:rPr>
        <w:t>Thus,</w:t>
      </w:r>
      <w:r w:rsidRPr="00382AFD">
        <w:rPr>
          <w:sz w:val="16"/>
          <w:szCs w:val="16"/>
        </w:rPr>
        <w:t xml:space="preserve"> failure of any of the checks in the last paragraph of Section 14.7.4.1.3 will also result in the failed check actions at 6.2.4.2</w:t>
      </w:r>
      <w:r>
        <w:rPr>
          <w:sz w:val="16"/>
          <w:szCs w:val="16"/>
        </w:rPr>
        <w:t>, as would failure of any of the preceding checks.</w:t>
      </w:r>
    </w:p>
  </w:footnote>
  <w:footnote w:id="2">
    <w:p w14:paraId="523E13F2" w14:textId="02AD9CB5" w:rsidR="00B46952" w:rsidRDefault="00B46952" w:rsidP="00B46952">
      <w:pPr>
        <w:pStyle w:val="FootnoteText"/>
      </w:pPr>
      <w:r>
        <w:rPr>
          <w:rStyle w:val="FootnoteReference"/>
        </w:rPr>
        <w:footnoteRef/>
      </w:r>
      <w:r>
        <w:t xml:space="preserve"> As per GBCS 4.3.2.5, </w:t>
      </w:r>
      <w:r w:rsidR="00421CC8">
        <w:t>‘</w:t>
      </w:r>
      <w:r w:rsidRPr="00421CC8">
        <w:rPr>
          <w:i/>
          <w:iCs/>
        </w:rPr>
        <w:t>a GSME shall have a Trust Anchor Cell capable of storing Key Agreement Security Credentials for a PPMID’</w:t>
      </w:r>
      <w:r>
        <w:t xml:space="preserve"> and therefore can only be joined (in a GBCS sense) to the PPMID with details in that Trust Anchor Cell. Hence only one PPMID.</w:t>
      </w:r>
    </w:p>
  </w:footnote>
  <w:footnote w:id="3">
    <w:p w14:paraId="329013BD" w14:textId="77777777" w:rsidR="00B46952" w:rsidRDefault="00B46952" w:rsidP="00B46952">
      <w:pPr>
        <w:pStyle w:val="FootnoteText"/>
      </w:pPr>
      <w:r>
        <w:rPr>
          <w:rStyle w:val="FootnoteReference"/>
        </w:rPr>
        <w:footnoteRef/>
      </w:r>
      <w:r>
        <w:t xml:space="preserve"> As per SMETS 5.5.2.2 ‘</w:t>
      </w:r>
      <w:r w:rsidRPr="00421CC8">
        <w:rPr>
          <w:i/>
          <w:iCs/>
        </w:rPr>
        <w:t>ESME shall be capable of establishing and maintaining Communications Links via its HAN Interface with a minimum of six Type 1 Devices (including a minimum of one PPMID).</w:t>
      </w:r>
      <w:r>
        <w:t>’</w:t>
      </w:r>
    </w:p>
  </w:footnote>
  <w:footnote w:id="4">
    <w:p w14:paraId="5C5217EB" w14:textId="77777777" w:rsidR="00B46952" w:rsidRDefault="00B46952" w:rsidP="00B46952">
      <w:pPr>
        <w:pStyle w:val="FootnoteText"/>
      </w:pPr>
      <w:r>
        <w:rPr>
          <w:rStyle w:val="FootnoteReference"/>
        </w:rPr>
        <w:footnoteRef/>
      </w:r>
      <w:r>
        <w:t xml:space="preserve"> For example, SMETS 5.6.3.3 requires that ‘ESME shall be capable of …controlling the number of invalid UTRN entries entered and processed’. CPA expands on this stating ‘</w:t>
      </w:r>
      <w:r w:rsidRPr="00310658">
        <w:t>UTRNs input by manual entry, through the user interface or via a PPMID, during any period of non-acceptance shall be discarded without attempting to validate the UTRN. Note: Rate-limiting via the PPMID should be independent to that via the user interface. For instance, a temporary block on UTRN entry via PPMID does not in itself cause UTRN entry via the user interface to also be blocked.</w:t>
      </w:r>
    </w:p>
  </w:footnote>
  <w:footnote w:id="5">
    <w:p w14:paraId="3292774C" w14:textId="77777777" w:rsidR="00B46952" w:rsidRDefault="00B46952" w:rsidP="00B46952">
      <w:pPr>
        <w:pStyle w:val="FootnoteText"/>
      </w:pPr>
      <w:r>
        <w:rPr>
          <w:rStyle w:val="FootnoteReference"/>
        </w:rPr>
        <w:footnoteRef/>
      </w:r>
      <w:r>
        <w:t xml:space="preserve"> And, from GBCS 4.0, an SAPC that supports Prepayment Top Up Command processing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99CA5" w14:textId="77777777" w:rsidR="00E94FB8" w:rsidRDefault="00E94F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34DFA" w14:textId="77777777" w:rsidR="008F1528" w:rsidRDefault="008F1528">
    <w:pPr>
      <w:pStyle w:val="Header"/>
    </w:pPr>
    <w:r>
      <w:rPr>
        <w:noProof/>
        <w:lang w:eastAsia="en-GB"/>
      </w:rPr>
      <w:drawing>
        <wp:inline distT="0" distB="0" distL="0" distR="0" wp14:anchorId="73969CE0" wp14:editId="740D425F">
          <wp:extent cx="1391479" cy="735724"/>
          <wp:effectExtent l="0" t="0" r="0" b="7620"/>
          <wp:docPr id="3" name="Picture 3" descr="Dept for Business, Energy and Industrial Strat_294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 for Business, Energy and Industrial Strat_294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806" cy="738012"/>
                  </a:xfrm>
                  <a:prstGeom prst="rect">
                    <a:avLst/>
                  </a:prstGeom>
                  <a:noFill/>
                  <a:ln>
                    <a:noFill/>
                  </a:ln>
                </pic:spPr>
              </pic:pic>
            </a:graphicData>
          </a:graphic>
        </wp:inline>
      </w:drawing>
    </w:r>
  </w:p>
  <w:p w14:paraId="79534E74" w14:textId="77777777" w:rsidR="008F1528" w:rsidRDefault="008F1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0546D" w14:textId="77777777" w:rsidR="00E94FB8" w:rsidRDefault="00E94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3045A"/>
    <w:multiLevelType w:val="hybridMultilevel"/>
    <w:tmpl w:val="4A0873E6"/>
    <w:lvl w:ilvl="0" w:tplc="7BF4B6D8">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C1D02"/>
    <w:multiLevelType w:val="hybridMultilevel"/>
    <w:tmpl w:val="0CD49A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0BC820B1"/>
    <w:multiLevelType w:val="hybridMultilevel"/>
    <w:tmpl w:val="CE3A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7" w15:restartNumberingAfterBreak="0">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EFD646E"/>
    <w:multiLevelType w:val="hybridMultilevel"/>
    <w:tmpl w:val="98D8F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8F018EE"/>
    <w:multiLevelType w:val="hybridMultilevel"/>
    <w:tmpl w:val="3A9CE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B377067"/>
    <w:multiLevelType w:val="hybridMultilevel"/>
    <w:tmpl w:val="CC045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711D8D"/>
    <w:multiLevelType w:val="hybridMultilevel"/>
    <w:tmpl w:val="BD76E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9F32796"/>
    <w:multiLevelType w:val="hybridMultilevel"/>
    <w:tmpl w:val="AB926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ED6976"/>
    <w:multiLevelType w:val="hybridMultilevel"/>
    <w:tmpl w:val="168C3A12"/>
    <w:lvl w:ilvl="0" w:tplc="7BF4B6D8">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972DE6"/>
    <w:multiLevelType w:val="hybridMultilevel"/>
    <w:tmpl w:val="3D401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3277760"/>
    <w:multiLevelType w:val="hybridMultilevel"/>
    <w:tmpl w:val="4FFCE91E"/>
    <w:lvl w:ilvl="0" w:tplc="0FCED62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5BF6A4C"/>
    <w:multiLevelType w:val="hybridMultilevel"/>
    <w:tmpl w:val="53149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22"/>
  </w:num>
  <w:num w:numId="5">
    <w:abstractNumId w:val="20"/>
  </w:num>
  <w:num w:numId="6">
    <w:abstractNumId w:val="6"/>
  </w:num>
  <w:num w:numId="7">
    <w:abstractNumId w:val="9"/>
  </w:num>
  <w:num w:numId="8">
    <w:abstractNumId w:val="8"/>
  </w:num>
  <w:num w:numId="9">
    <w:abstractNumId w:val="11"/>
  </w:num>
  <w:num w:numId="10">
    <w:abstractNumId w:val="5"/>
  </w:num>
  <w:num w:numId="11">
    <w:abstractNumId w:val="18"/>
  </w:num>
  <w:num w:numId="12">
    <w:abstractNumId w:val="13"/>
  </w:num>
  <w:num w:numId="13">
    <w:abstractNumId w:val="1"/>
  </w:num>
  <w:num w:numId="14">
    <w:abstractNumId w:val="12"/>
  </w:num>
  <w:num w:numId="15">
    <w:abstractNumId w:val="19"/>
  </w:num>
  <w:num w:numId="16">
    <w:abstractNumId w:val="14"/>
  </w:num>
  <w:num w:numId="17">
    <w:abstractNumId w:val="16"/>
  </w:num>
  <w:num w:numId="18">
    <w:abstractNumId w:val="10"/>
  </w:num>
  <w:num w:numId="19">
    <w:abstractNumId w:val="2"/>
  </w:num>
  <w:num w:numId="20">
    <w:abstractNumId w:val="17"/>
  </w:num>
  <w:num w:numId="21">
    <w:abstractNumId w:val="0"/>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90"/>
    <w:rsid w:val="00001010"/>
    <w:rsid w:val="000017A7"/>
    <w:rsid w:val="0000361A"/>
    <w:rsid w:val="000047FD"/>
    <w:rsid w:val="000067E6"/>
    <w:rsid w:val="00006B2F"/>
    <w:rsid w:val="00007434"/>
    <w:rsid w:val="000077CE"/>
    <w:rsid w:val="000120EE"/>
    <w:rsid w:val="00012347"/>
    <w:rsid w:val="00013559"/>
    <w:rsid w:val="00014F30"/>
    <w:rsid w:val="000168CF"/>
    <w:rsid w:val="0001751F"/>
    <w:rsid w:val="0002647E"/>
    <w:rsid w:val="00027CC0"/>
    <w:rsid w:val="00031669"/>
    <w:rsid w:val="00031A82"/>
    <w:rsid w:val="00032492"/>
    <w:rsid w:val="00032565"/>
    <w:rsid w:val="0003319A"/>
    <w:rsid w:val="00033B44"/>
    <w:rsid w:val="00035739"/>
    <w:rsid w:val="00036C29"/>
    <w:rsid w:val="000371AF"/>
    <w:rsid w:val="00037F6E"/>
    <w:rsid w:val="00043A9A"/>
    <w:rsid w:val="00047C0C"/>
    <w:rsid w:val="00054C4E"/>
    <w:rsid w:val="0005545C"/>
    <w:rsid w:val="00062EE1"/>
    <w:rsid w:val="000634E5"/>
    <w:rsid w:val="000640CF"/>
    <w:rsid w:val="000677D1"/>
    <w:rsid w:val="0006799B"/>
    <w:rsid w:val="00072361"/>
    <w:rsid w:val="000737E1"/>
    <w:rsid w:val="00073ED6"/>
    <w:rsid w:val="00074F67"/>
    <w:rsid w:val="000757CF"/>
    <w:rsid w:val="000824BD"/>
    <w:rsid w:val="00084705"/>
    <w:rsid w:val="00087FA1"/>
    <w:rsid w:val="00092433"/>
    <w:rsid w:val="00096067"/>
    <w:rsid w:val="000A0E62"/>
    <w:rsid w:val="000A13EB"/>
    <w:rsid w:val="000A384E"/>
    <w:rsid w:val="000A3E80"/>
    <w:rsid w:val="000A4474"/>
    <w:rsid w:val="000A6094"/>
    <w:rsid w:val="000B1D16"/>
    <w:rsid w:val="000B2562"/>
    <w:rsid w:val="000B2ECF"/>
    <w:rsid w:val="000C4612"/>
    <w:rsid w:val="000E04EA"/>
    <w:rsid w:val="000E246F"/>
    <w:rsid w:val="000E2B87"/>
    <w:rsid w:val="000E4A89"/>
    <w:rsid w:val="000F0E5D"/>
    <w:rsid w:val="000F284C"/>
    <w:rsid w:val="000F6CAC"/>
    <w:rsid w:val="00101F68"/>
    <w:rsid w:val="001066FD"/>
    <w:rsid w:val="00107E1E"/>
    <w:rsid w:val="0011009F"/>
    <w:rsid w:val="00114E3E"/>
    <w:rsid w:val="00115A2D"/>
    <w:rsid w:val="00120476"/>
    <w:rsid w:val="00120AF1"/>
    <w:rsid w:val="00130043"/>
    <w:rsid w:val="00135EB3"/>
    <w:rsid w:val="00136ECE"/>
    <w:rsid w:val="0014040A"/>
    <w:rsid w:val="001404CE"/>
    <w:rsid w:val="001407D2"/>
    <w:rsid w:val="0014092F"/>
    <w:rsid w:val="001443B9"/>
    <w:rsid w:val="00153953"/>
    <w:rsid w:val="001550E8"/>
    <w:rsid w:val="001550EA"/>
    <w:rsid w:val="00156697"/>
    <w:rsid w:val="00160592"/>
    <w:rsid w:val="0016310A"/>
    <w:rsid w:val="0017101B"/>
    <w:rsid w:val="00172A32"/>
    <w:rsid w:val="0017690B"/>
    <w:rsid w:val="00186A9F"/>
    <w:rsid w:val="001927A6"/>
    <w:rsid w:val="00194998"/>
    <w:rsid w:val="00196878"/>
    <w:rsid w:val="001978DB"/>
    <w:rsid w:val="001A1990"/>
    <w:rsid w:val="001A1E90"/>
    <w:rsid w:val="001A5AA5"/>
    <w:rsid w:val="001A6CB5"/>
    <w:rsid w:val="001A7070"/>
    <w:rsid w:val="001B1CB9"/>
    <w:rsid w:val="001B2D3F"/>
    <w:rsid w:val="001B63E3"/>
    <w:rsid w:val="001C2F08"/>
    <w:rsid w:val="001D2937"/>
    <w:rsid w:val="001E7F84"/>
    <w:rsid w:val="001F10BC"/>
    <w:rsid w:val="001F40F4"/>
    <w:rsid w:val="001F4D2D"/>
    <w:rsid w:val="001F4E42"/>
    <w:rsid w:val="0020385A"/>
    <w:rsid w:val="00204501"/>
    <w:rsid w:val="0020787B"/>
    <w:rsid w:val="00211973"/>
    <w:rsid w:val="0021257A"/>
    <w:rsid w:val="00213674"/>
    <w:rsid w:val="00214556"/>
    <w:rsid w:val="00222EF2"/>
    <w:rsid w:val="00226410"/>
    <w:rsid w:val="00230D48"/>
    <w:rsid w:val="0023354D"/>
    <w:rsid w:val="0023602E"/>
    <w:rsid w:val="00237553"/>
    <w:rsid w:val="002432E0"/>
    <w:rsid w:val="002456BC"/>
    <w:rsid w:val="00247744"/>
    <w:rsid w:val="00247873"/>
    <w:rsid w:val="00247EC2"/>
    <w:rsid w:val="00255DFF"/>
    <w:rsid w:val="00257134"/>
    <w:rsid w:val="002640D0"/>
    <w:rsid w:val="002645E7"/>
    <w:rsid w:val="00270C1E"/>
    <w:rsid w:val="0027506D"/>
    <w:rsid w:val="00277A94"/>
    <w:rsid w:val="00280704"/>
    <w:rsid w:val="00283874"/>
    <w:rsid w:val="00285102"/>
    <w:rsid w:val="002908D9"/>
    <w:rsid w:val="00291628"/>
    <w:rsid w:val="00293634"/>
    <w:rsid w:val="00296528"/>
    <w:rsid w:val="002A0879"/>
    <w:rsid w:val="002A3250"/>
    <w:rsid w:val="002A4884"/>
    <w:rsid w:val="002C25D2"/>
    <w:rsid w:val="002C320F"/>
    <w:rsid w:val="002C3EA2"/>
    <w:rsid w:val="002C4873"/>
    <w:rsid w:val="002D0243"/>
    <w:rsid w:val="002D10EC"/>
    <w:rsid w:val="002D1D68"/>
    <w:rsid w:val="002D2D03"/>
    <w:rsid w:val="002E1656"/>
    <w:rsid w:val="002E354D"/>
    <w:rsid w:val="002E6DA2"/>
    <w:rsid w:val="002F29AF"/>
    <w:rsid w:val="003004E4"/>
    <w:rsid w:val="003021D7"/>
    <w:rsid w:val="00313ACB"/>
    <w:rsid w:val="0031466C"/>
    <w:rsid w:val="00316848"/>
    <w:rsid w:val="00316A33"/>
    <w:rsid w:val="003178F8"/>
    <w:rsid w:val="0032090F"/>
    <w:rsid w:val="00325F3E"/>
    <w:rsid w:val="003261C2"/>
    <w:rsid w:val="00336546"/>
    <w:rsid w:val="00336FDB"/>
    <w:rsid w:val="00340832"/>
    <w:rsid w:val="003434F6"/>
    <w:rsid w:val="00346A15"/>
    <w:rsid w:val="00346C79"/>
    <w:rsid w:val="00351702"/>
    <w:rsid w:val="003562F8"/>
    <w:rsid w:val="00356720"/>
    <w:rsid w:val="00364CD6"/>
    <w:rsid w:val="00364F1D"/>
    <w:rsid w:val="00366CBA"/>
    <w:rsid w:val="003808D5"/>
    <w:rsid w:val="003862AD"/>
    <w:rsid w:val="003918DD"/>
    <w:rsid w:val="00392394"/>
    <w:rsid w:val="00394C33"/>
    <w:rsid w:val="003977E4"/>
    <w:rsid w:val="003A1534"/>
    <w:rsid w:val="003A2DC0"/>
    <w:rsid w:val="003C02CB"/>
    <w:rsid w:val="003C0F9E"/>
    <w:rsid w:val="003C1309"/>
    <w:rsid w:val="003C1CF1"/>
    <w:rsid w:val="003C3AB7"/>
    <w:rsid w:val="003C6765"/>
    <w:rsid w:val="003C7CCD"/>
    <w:rsid w:val="003D0C2A"/>
    <w:rsid w:val="003D3999"/>
    <w:rsid w:val="003E0DC2"/>
    <w:rsid w:val="003E1FC5"/>
    <w:rsid w:val="003E77B1"/>
    <w:rsid w:val="003F11B7"/>
    <w:rsid w:val="003F1922"/>
    <w:rsid w:val="003F4ACC"/>
    <w:rsid w:val="003F56A1"/>
    <w:rsid w:val="003F7CDC"/>
    <w:rsid w:val="00400815"/>
    <w:rsid w:val="00400D5D"/>
    <w:rsid w:val="00402F46"/>
    <w:rsid w:val="004108E5"/>
    <w:rsid w:val="00417C88"/>
    <w:rsid w:val="00420DC1"/>
    <w:rsid w:val="00421CC8"/>
    <w:rsid w:val="00421EF7"/>
    <w:rsid w:val="0042228F"/>
    <w:rsid w:val="00423C0B"/>
    <w:rsid w:val="00427BE5"/>
    <w:rsid w:val="00432984"/>
    <w:rsid w:val="00432CEC"/>
    <w:rsid w:val="004334C6"/>
    <w:rsid w:val="00436BEA"/>
    <w:rsid w:val="00436E02"/>
    <w:rsid w:val="00447DAA"/>
    <w:rsid w:val="0045356D"/>
    <w:rsid w:val="00456117"/>
    <w:rsid w:val="00457CAC"/>
    <w:rsid w:val="004645EF"/>
    <w:rsid w:val="00473605"/>
    <w:rsid w:val="004743DD"/>
    <w:rsid w:val="004759CB"/>
    <w:rsid w:val="004807EE"/>
    <w:rsid w:val="00482F6D"/>
    <w:rsid w:val="004845B0"/>
    <w:rsid w:val="004A1516"/>
    <w:rsid w:val="004A24E4"/>
    <w:rsid w:val="004A7A3C"/>
    <w:rsid w:val="004B20DC"/>
    <w:rsid w:val="004B35EF"/>
    <w:rsid w:val="004B3CE1"/>
    <w:rsid w:val="004C02F3"/>
    <w:rsid w:val="004C4223"/>
    <w:rsid w:val="004C4543"/>
    <w:rsid w:val="004D2893"/>
    <w:rsid w:val="004D2C92"/>
    <w:rsid w:val="004D6BAF"/>
    <w:rsid w:val="004E1260"/>
    <w:rsid w:val="004E19A4"/>
    <w:rsid w:val="004E2329"/>
    <w:rsid w:val="004E6FB0"/>
    <w:rsid w:val="004F1DC1"/>
    <w:rsid w:val="00501479"/>
    <w:rsid w:val="00503852"/>
    <w:rsid w:val="0050446C"/>
    <w:rsid w:val="005067DE"/>
    <w:rsid w:val="00506EE5"/>
    <w:rsid w:val="00511E09"/>
    <w:rsid w:val="0051377B"/>
    <w:rsid w:val="005138F3"/>
    <w:rsid w:val="00513EBD"/>
    <w:rsid w:val="005155AA"/>
    <w:rsid w:val="0051603F"/>
    <w:rsid w:val="00517A39"/>
    <w:rsid w:val="00522462"/>
    <w:rsid w:val="00527CB5"/>
    <w:rsid w:val="0053106C"/>
    <w:rsid w:val="005329D2"/>
    <w:rsid w:val="00536BD1"/>
    <w:rsid w:val="00543BE5"/>
    <w:rsid w:val="005469C4"/>
    <w:rsid w:val="005471B3"/>
    <w:rsid w:val="00550675"/>
    <w:rsid w:val="005506D4"/>
    <w:rsid w:val="005542B9"/>
    <w:rsid w:val="00555319"/>
    <w:rsid w:val="00557E43"/>
    <w:rsid w:val="00557F0A"/>
    <w:rsid w:val="00566D73"/>
    <w:rsid w:val="0057550B"/>
    <w:rsid w:val="00581716"/>
    <w:rsid w:val="005859F2"/>
    <w:rsid w:val="00587DD0"/>
    <w:rsid w:val="00590278"/>
    <w:rsid w:val="00590B70"/>
    <w:rsid w:val="005939E5"/>
    <w:rsid w:val="005943A5"/>
    <w:rsid w:val="005944E0"/>
    <w:rsid w:val="005A42E3"/>
    <w:rsid w:val="005A44F4"/>
    <w:rsid w:val="005A7919"/>
    <w:rsid w:val="005C63FE"/>
    <w:rsid w:val="005D066E"/>
    <w:rsid w:val="005D1200"/>
    <w:rsid w:val="005D303B"/>
    <w:rsid w:val="005D4536"/>
    <w:rsid w:val="005D566A"/>
    <w:rsid w:val="005E6451"/>
    <w:rsid w:val="005E7B93"/>
    <w:rsid w:val="005F06EB"/>
    <w:rsid w:val="005F38F6"/>
    <w:rsid w:val="005F6D74"/>
    <w:rsid w:val="0060089B"/>
    <w:rsid w:val="006032CC"/>
    <w:rsid w:val="00604A38"/>
    <w:rsid w:val="00610F5F"/>
    <w:rsid w:val="0062193D"/>
    <w:rsid w:val="006271F4"/>
    <w:rsid w:val="00627867"/>
    <w:rsid w:val="0064677C"/>
    <w:rsid w:val="00653EA3"/>
    <w:rsid w:val="0065425A"/>
    <w:rsid w:val="00654301"/>
    <w:rsid w:val="006549C2"/>
    <w:rsid w:val="00663597"/>
    <w:rsid w:val="00663A93"/>
    <w:rsid w:val="0067269F"/>
    <w:rsid w:val="0067336B"/>
    <w:rsid w:val="00674DEC"/>
    <w:rsid w:val="00676B6A"/>
    <w:rsid w:val="00677EDA"/>
    <w:rsid w:val="006801DB"/>
    <w:rsid w:val="00683ED9"/>
    <w:rsid w:val="0068469D"/>
    <w:rsid w:val="006856E3"/>
    <w:rsid w:val="006860B4"/>
    <w:rsid w:val="00687FBD"/>
    <w:rsid w:val="00687FD9"/>
    <w:rsid w:val="00690005"/>
    <w:rsid w:val="00691383"/>
    <w:rsid w:val="006962FB"/>
    <w:rsid w:val="006A1589"/>
    <w:rsid w:val="006A433C"/>
    <w:rsid w:val="006A77B9"/>
    <w:rsid w:val="006C601B"/>
    <w:rsid w:val="006D3EF8"/>
    <w:rsid w:val="006D41CC"/>
    <w:rsid w:val="006E2217"/>
    <w:rsid w:val="006E2C36"/>
    <w:rsid w:val="006E4E07"/>
    <w:rsid w:val="006E7FE2"/>
    <w:rsid w:val="006F3EC9"/>
    <w:rsid w:val="006F6EE4"/>
    <w:rsid w:val="007006D9"/>
    <w:rsid w:val="007009C5"/>
    <w:rsid w:val="00701DC3"/>
    <w:rsid w:val="00706FBA"/>
    <w:rsid w:val="00722D4B"/>
    <w:rsid w:val="007245DC"/>
    <w:rsid w:val="0073015D"/>
    <w:rsid w:val="007337CF"/>
    <w:rsid w:val="00733AD3"/>
    <w:rsid w:val="00734068"/>
    <w:rsid w:val="00735456"/>
    <w:rsid w:val="00756393"/>
    <w:rsid w:val="007602F5"/>
    <w:rsid w:val="00762436"/>
    <w:rsid w:val="00762601"/>
    <w:rsid w:val="0076649C"/>
    <w:rsid w:val="00770D85"/>
    <w:rsid w:val="00771133"/>
    <w:rsid w:val="00773A15"/>
    <w:rsid w:val="007745BC"/>
    <w:rsid w:val="0078195F"/>
    <w:rsid w:val="007876F4"/>
    <w:rsid w:val="007968EE"/>
    <w:rsid w:val="007A0DB6"/>
    <w:rsid w:val="007A19B0"/>
    <w:rsid w:val="007A2FDE"/>
    <w:rsid w:val="007A4BC5"/>
    <w:rsid w:val="007B2828"/>
    <w:rsid w:val="007B55AE"/>
    <w:rsid w:val="007B6388"/>
    <w:rsid w:val="007D2E77"/>
    <w:rsid w:val="007E1070"/>
    <w:rsid w:val="007E31D5"/>
    <w:rsid w:val="007F40A6"/>
    <w:rsid w:val="007F7612"/>
    <w:rsid w:val="007F7873"/>
    <w:rsid w:val="0080182C"/>
    <w:rsid w:val="008041C2"/>
    <w:rsid w:val="008103D7"/>
    <w:rsid w:val="0081146E"/>
    <w:rsid w:val="00811704"/>
    <w:rsid w:val="008117E9"/>
    <w:rsid w:val="0081394A"/>
    <w:rsid w:val="00816A3C"/>
    <w:rsid w:val="00821354"/>
    <w:rsid w:val="008228AB"/>
    <w:rsid w:val="00827DD8"/>
    <w:rsid w:val="00831DE4"/>
    <w:rsid w:val="00831FCE"/>
    <w:rsid w:val="008402CA"/>
    <w:rsid w:val="00840978"/>
    <w:rsid w:val="00850597"/>
    <w:rsid w:val="008507A3"/>
    <w:rsid w:val="00850B53"/>
    <w:rsid w:val="00850EDE"/>
    <w:rsid w:val="00853FCB"/>
    <w:rsid w:val="00855284"/>
    <w:rsid w:val="008600BC"/>
    <w:rsid w:val="0086126A"/>
    <w:rsid w:val="00863FD6"/>
    <w:rsid w:val="008642B9"/>
    <w:rsid w:val="00865393"/>
    <w:rsid w:val="00865811"/>
    <w:rsid w:val="00866DCB"/>
    <w:rsid w:val="00873607"/>
    <w:rsid w:val="008742F9"/>
    <w:rsid w:val="008765AD"/>
    <w:rsid w:val="0088338E"/>
    <w:rsid w:val="00885070"/>
    <w:rsid w:val="008A0F50"/>
    <w:rsid w:val="008A46E9"/>
    <w:rsid w:val="008B16A8"/>
    <w:rsid w:val="008D01EA"/>
    <w:rsid w:val="008D0FB2"/>
    <w:rsid w:val="008D2A70"/>
    <w:rsid w:val="008D33D7"/>
    <w:rsid w:val="008D7151"/>
    <w:rsid w:val="008E06F5"/>
    <w:rsid w:val="008E6609"/>
    <w:rsid w:val="008F1528"/>
    <w:rsid w:val="008F3A0C"/>
    <w:rsid w:val="008F7122"/>
    <w:rsid w:val="0090181B"/>
    <w:rsid w:val="009018CE"/>
    <w:rsid w:val="00902E86"/>
    <w:rsid w:val="009119E5"/>
    <w:rsid w:val="00912237"/>
    <w:rsid w:val="009129F1"/>
    <w:rsid w:val="00912E2D"/>
    <w:rsid w:val="009178B5"/>
    <w:rsid w:val="009200B1"/>
    <w:rsid w:val="009201DF"/>
    <w:rsid w:val="00922117"/>
    <w:rsid w:val="009231B9"/>
    <w:rsid w:val="00924C67"/>
    <w:rsid w:val="009256A3"/>
    <w:rsid w:val="00926B10"/>
    <w:rsid w:val="009308F1"/>
    <w:rsid w:val="0093179E"/>
    <w:rsid w:val="00936D64"/>
    <w:rsid w:val="009418F7"/>
    <w:rsid w:val="00943548"/>
    <w:rsid w:val="00944331"/>
    <w:rsid w:val="00945A1E"/>
    <w:rsid w:val="00953BA0"/>
    <w:rsid w:val="00953F35"/>
    <w:rsid w:val="00954AFF"/>
    <w:rsid w:val="00955706"/>
    <w:rsid w:val="009561AF"/>
    <w:rsid w:val="00957C57"/>
    <w:rsid w:val="00963BEE"/>
    <w:rsid w:val="00983ACF"/>
    <w:rsid w:val="0099541F"/>
    <w:rsid w:val="009957C5"/>
    <w:rsid w:val="00996E7A"/>
    <w:rsid w:val="00997EB6"/>
    <w:rsid w:val="009A42C4"/>
    <w:rsid w:val="009A7579"/>
    <w:rsid w:val="009B0D9F"/>
    <w:rsid w:val="009B7498"/>
    <w:rsid w:val="009C00DE"/>
    <w:rsid w:val="009C49DA"/>
    <w:rsid w:val="009C4E55"/>
    <w:rsid w:val="009D0518"/>
    <w:rsid w:val="009D10C1"/>
    <w:rsid w:val="009D283C"/>
    <w:rsid w:val="009E2312"/>
    <w:rsid w:val="009E3A93"/>
    <w:rsid w:val="009E4339"/>
    <w:rsid w:val="009E537A"/>
    <w:rsid w:val="009F7293"/>
    <w:rsid w:val="009F7B3D"/>
    <w:rsid w:val="00A03987"/>
    <w:rsid w:val="00A050BF"/>
    <w:rsid w:val="00A05D6C"/>
    <w:rsid w:val="00A06141"/>
    <w:rsid w:val="00A07BFC"/>
    <w:rsid w:val="00A12754"/>
    <w:rsid w:val="00A14EA0"/>
    <w:rsid w:val="00A16AA4"/>
    <w:rsid w:val="00A26E0F"/>
    <w:rsid w:val="00A271C6"/>
    <w:rsid w:val="00A31161"/>
    <w:rsid w:val="00A361DB"/>
    <w:rsid w:val="00A42B4C"/>
    <w:rsid w:val="00A45BE8"/>
    <w:rsid w:val="00A50E02"/>
    <w:rsid w:val="00A6083E"/>
    <w:rsid w:val="00A6086E"/>
    <w:rsid w:val="00A748D4"/>
    <w:rsid w:val="00A764F6"/>
    <w:rsid w:val="00A80013"/>
    <w:rsid w:val="00A80338"/>
    <w:rsid w:val="00A80C5A"/>
    <w:rsid w:val="00A828CE"/>
    <w:rsid w:val="00A87430"/>
    <w:rsid w:val="00A9071F"/>
    <w:rsid w:val="00A92CB4"/>
    <w:rsid w:val="00A93064"/>
    <w:rsid w:val="00A96539"/>
    <w:rsid w:val="00AA4907"/>
    <w:rsid w:val="00AA73DC"/>
    <w:rsid w:val="00AB1995"/>
    <w:rsid w:val="00AB34DF"/>
    <w:rsid w:val="00AB5CDC"/>
    <w:rsid w:val="00AC29F6"/>
    <w:rsid w:val="00AD151C"/>
    <w:rsid w:val="00AD44DC"/>
    <w:rsid w:val="00AD547F"/>
    <w:rsid w:val="00AD632D"/>
    <w:rsid w:val="00AE2B26"/>
    <w:rsid w:val="00AE45B2"/>
    <w:rsid w:val="00AF04AB"/>
    <w:rsid w:val="00AF2F89"/>
    <w:rsid w:val="00B00A10"/>
    <w:rsid w:val="00B00AE6"/>
    <w:rsid w:val="00B031FE"/>
    <w:rsid w:val="00B033DF"/>
    <w:rsid w:val="00B0416B"/>
    <w:rsid w:val="00B046C7"/>
    <w:rsid w:val="00B06C43"/>
    <w:rsid w:val="00B07675"/>
    <w:rsid w:val="00B11AB8"/>
    <w:rsid w:val="00B12A64"/>
    <w:rsid w:val="00B13AF8"/>
    <w:rsid w:val="00B1446A"/>
    <w:rsid w:val="00B14D31"/>
    <w:rsid w:val="00B23643"/>
    <w:rsid w:val="00B26657"/>
    <w:rsid w:val="00B27B5A"/>
    <w:rsid w:val="00B31311"/>
    <w:rsid w:val="00B33587"/>
    <w:rsid w:val="00B347B5"/>
    <w:rsid w:val="00B36134"/>
    <w:rsid w:val="00B36C33"/>
    <w:rsid w:val="00B46643"/>
    <w:rsid w:val="00B46952"/>
    <w:rsid w:val="00B47498"/>
    <w:rsid w:val="00B51FE1"/>
    <w:rsid w:val="00B52794"/>
    <w:rsid w:val="00B57E5E"/>
    <w:rsid w:val="00B62339"/>
    <w:rsid w:val="00B62F8F"/>
    <w:rsid w:val="00B6332D"/>
    <w:rsid w:val="00B67B14"/>
    <w:rsid w:val="00B717DA"/>
    <w:rsid w:val="00B71C06"/>
    <w:rsid w:val="00B7515E"/>
    <w:rsid w:val="00B769AF"/>
    <w:rsid w:val="00B928B7"/>
    <w:rsid w:val="00B94B1F"/>
    <w:rsid w:val="00B9763F"/>
    <w:rsid w:val="00BA4A48"/>
    <w:rsid w:val="00BA5563"/>
    <w:rsid w:val="00BA57F7"/>
    <w:rsid w:val="00BA67C3"/>
    <w:rsid w:val="00BA7C68"/>
    <w:rsid w:val="00BA7F7B"/>
    <w:rsid w:val="00BB11BD"/>
    <w:rsid w:val="00BB1B51"/>
    <w:rsid w:val="00BB2BC9"/>
    <w:rsid w:val="00BC14C8"/>
    <w:rsid w:val="00BC3534"/>
    <w:rsid w:val="00BC3CAD"/>
    <w:rsid w:val="00BC5F70"/>
    <w:rsid w:val="00BC6F66"/>
    <w:rsid w:val="00BD0594"/>
    <w:rsid w:val="00BD0C72"/>
    <w:rsid w:val="00BD3748"/>
    <w:rsid w:val="00BD61CA"/>
    <w:rsid w:val="00BE41C9"/>
    <w:rsid w:val="00BF11E5"/>
    <w:rsid w:val="00BF493C"/>
    <w:rsid w:val="00BF6B06"/>
    <w:rsid w:val="00BF758C"/>
    <w:rsid w:val="00BF7A55"/>
    <w:rsid w:val="00C050CC"/>
    <w:rsid w:val="00C125EA"/>
    <w:rsid w:val="00C2117A"/>
    <w:rsid w:val="00C220B0"/>
    <w:rsid w:val="00C239CD"/>
    <w:rsid w:val="00C3180A"/>
    <w:rsid w:val="00C32E4F"/>
    <w:rsid w:val="00C44EE0"/>
    <w:rsid w:val="00C44F3D"/>
    <w:rsid w:val="00C44F7A"/>
    <w:rsid w:val="00C50D81"/>
    <w:rsid w:val="00C50F95"/>
    <w:rsid w:val="00C5106B"/>
    <w:rsid w:val="00C5423A"/>
    <w:rsid w:val="00C545CA"/>
    <w:rsid w:val="00C55C0B"/>
    <w:rsid w:val="00C55C8A"/>
    <w:rsid w:val="00C609E1"/>
    <w:rsid w:val="00C61DB1"/>
    <w:rsid w:val="00C62353"/>
    <w:rsid w:val="00C62A9A"/>
    <w:rsid w:val="00C641F4"/>
    <w:rsid w:val="00C70653"/>
    <w:rsid w:val="00C721CB"/>
    <w:rsid w:val="00C72D41"/>
    <w:rsid w:val="00C90075"/>
    <w:rsid w:val="00C91B99"/>
    <w:rsid w:val="00C94161"/>
    <w:rsid w:val="00CA527B"/>
    <w:rsid w:val="00CA703B"/>
    <w:rsid w:val="00CB3108"/>
    <w:rsid w:val="00CB721D"/>
    <w:rsid w:val="00CC0A00"/>
    <w:rsid w:val="00CC57E5"/>
    <w:rsid w:val="00CE18B1"/>
    <w:rsid w:val="00CE30D5"/>
    <w:rsid w:val="00CF38E6"/>
    <w:rsid w:val="00CF7916"/>
    <w:rsid w:val="00D042A3"/>
    <w:rsid w:val="00D0724D"/>
    <w:rsid w:val="00D106FB"/>
    <w:rsid w:val="00D1111F"/>
    <w:rsid w:val="00D1157A"/>
    <w:rsid w:val="00D129CA"/>
    <w:rsid w:val="00D134C5"/>
    <w:rsid w:val="00D135D1"/>
    <w:rsid w:val="00D16A30"/>
    <w:rsid w:val="00D17D8E"/>
    <w:rsid w:val="00D2204A"/>
    <w:rsid w:val="00D22791"/>
    <w:rsid w:val="00D275DC"/>
    <w:rsid w:val="00D35515"/>
    <w:rsid w:val="00D37066"/>
    <w:rsid w:val="00D37EE6"/>
    <w:rsid w:val="00D42C70"/>
    <w:rsid w:val="00D43BB1"/>
    <w:rsid w:val="00D4417E"/>
    <w:rsid w:val="00D466E9"/>
    <w:rsid w:val="00D469B7"/>
    <w:rsid w:val="00D5060D"/>
    <w:rsid w:val="00D57A39"/>
    <w:rsid w:val="00D57DD4"/>
    <w:rsid w:val="00D620F0"/>
    <w:rsid w:val="00D62E44"/>
    <w:rsid w:val="00D635A9"/>
    <w:rsid w:val="00D65585"/>
    <w:rsid w:val="00D6574C"/>
    <w:rsid w:val="00D658E1"/>
    <w:rsid w:val="00D65AF2"/>
    <w:rsid w:val="00D668FA"/>
    <w:rsid w:val="00D715E2"/>
    <w:rsid w:val="00D7345A"/>
    <w:rsid w:val="00D7474B"/>
    <w:rsid w:val="00D80986"/>
    <w:rsid w:val="00D815D9"/>
    <w:rsid w:val="00D833E0"/>
    <w:rsid w:val="00D8365A"/>
    <w:rsid w:val="00D85DB4"/>
    <w:rsid w:val="00D90EA5"/>
    <w:rsid w:val="00D915AF"/>
    <w:rsid w:val="00D92BF7"/>
    <w:rsid w:val="00D93B7E"/>
    <w:rsid w:val="00D9443B"/>
    <w:rsid w:val="00DA1745"/>
    <w:rsid w:val="00DA6D23"/>
    <w:rsid w:val="00DA6FFE"/>
    <w:rsid w:val="00DA77F0"/>
    <w:rsid w:val="00DB0F3A"/>
    <w:rsid w:val="00DB161B"/>
    <w:rsid w:val="00DB3765"/>
    <w:rsid w:val="00DB749D"/>
    <w:rsid w:val="00DC055B"/>
    <w:rsid w:val="00DC1488"/>
    <w:rsid w:val="00DD0268"/>
    <w:rsid w:val="00DD46D8"/>
    <w:rsid w:val="00DD64DC"/>
    <w:rsid w:val="00DE2277"/>
    <w:rsid w:val="00DE2B78"/>
    <w:rsid w:val="00DE2F63"/>
    <w:rsid w:val="00DE6193"/>
    <w:rsid w:val="00DE6409"/>
    <w:rsid w:val="00DF1BBA"/>
    <w:rsid w:val="00DF398B"/>
    <w:rsid w:val="00DF623A"/>
    <w:rsid w:val="00E02310"/>
    <w:rsid w:val="00E041F3"/>
    <w:rsid w:val="00E05A64"/>
    <w:rsid w:val="00E065B9"/>
    <w:rsid w:val="00E105AF"/>
    <w:rsid w:val="00E15A98"/>
    <w:rsid w:val="00E27CF1"/>
    <w:rsid w:val="00E31F9F"/>
    <w:rsid w:val="00E35390"/>
    <w:rsid w:val="00E46BAB"/>
    <w:rsid w:val="00E51AF1"/>
    <w:rsid w:val="00E564A3"/>
    <w:rsid w:val="00E6003E"/>
    <w:rsid w:val="00E6529C"/>
    <w:rsid w:val="00E667B5"/>
    <w:rsid w:val="00E66DA9"/>
    <w:rsid w:val="00E72039"/>
    <w:rsid w:val="00E773B4"/>
    <w:rsid w:val="00E85C2E"/>
    <w:rsid w:val="00E9096F"/>
    <w:rsid w:val="00E94FB8"/>
    <w:rsid w:val="00EA0373"/>
    <w:rsid w:val="00EA2483"/>
    <w:rsid w:val="00EA5466"/>
    <w:rsid w:val="00EC51ED"/>
    <w:rsid w:val="00ED05DA"/>
    <w:rsid w:val="00ED1338"/>
    <w:rsid w:val="00ED713A"/>
    <w:rsid w:val="00ED7F4C"/>
    <w:rsid w:val="00EE35F9"/>
    <w:rsid w:val="00EE400B"/>
    <w:rsid w:val="00EF6AC4"/>
    <w:rsid w:val="00EF71DE"/>
    <w:rsid w:val="00F01D64"/>
    <w:rsid w:val="00F06873"/>
    <w:rsid w:val="00F104D5"/>
    <w:rsid w:val="00F10949"/>
    <w:rsid w:val="00F119FE"/>
    <w:rsid w:val="00F12692"/>
    <w:rsid w:val="00F1443C"/>
    <w:rsid w:val="00F2490F"/>
    <w:rsid w:val="00F25B9D"/>
    <w:rsid w:val="00F3411B"/>
    <w:rsid w:val="00F5680C"/>
    <w:rsid w:val="00F60F05"/>
    <w:rsid w:val="00F626DD"/>
    <w:rsid w:val="00F63C45"/>
    <w:rsid w:val="00F674D0"/>
    <w:rsid w:val="00F67B20"/>
    <w:rsid w:val="00F7521E"/>
    <w:rsid w:val="00F82A77"/>
    <w:rsid w:val="00F834A7"/>
    <w:rsid w:val="00F84AAE"/>
    <w:rsid w:val="00F9607D"/>
    <w:rsid w:val="00F96598"/>
    <w:rsid w:val="00FB2352"/>
    <w:rsid w:val="00FB523E"/>
    <w:rsid w:val="00FB7582"/>
    <w:rsid w:val="00FC5564"/>
    <w:rsid w:val="00FD08E1"/>
    <w:rsid w:val="00FD0FA3"/>
    <w:rsid w:val="00FD0FB2"/>
    <w:rsid w:val="00FD1E18"/>
    <w:rsid w:val="00FD54AB"/>
    <w:rsid w:val="00FE41E2"/>
    <w:rsid w:val="00FE433C"/>
    <w:rsid w:val="00FF0322"/>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EC889B"/>
  <w15:docId w15:val="{26265C44-8C0F-4422-9BFF-7CD93B071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uiPriority w:val="99"/>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rsid w:val="000E04EA"/>
    <w:rPr>
      <w:rFonts w:ascii="Arial" w:eastAsia="Times New Roman" w:hAnsi="Arial" w:cs="Arial"/>
      <w:i/>
    </w:rPr>
  </w:style>
  <w:style w:type="paragraph" w:customStyle="1" w:styleId="rombull">
    <w:name w:val="rom bull"/>
    <w:basedOn w:val="Normal"/>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1790515862">
      <w:bodyDiv w:val="1"/>
      <w:marLeft w:val="0"/>
      <w:marRight w:val="0"/>
      <w:marTop w:val="0"/>
      <w:marBottom w:val="0"/>
      <w:divBdr>
        <w:top w:val="none" w:sz="0" w:space="0" w:color="auto"/>
        <w:left w:val="none" w:sz="0" w:space="0" w:color="auto"/>
        <w:bottom w:val="none" w:sz="0" w:space="0" w:color="auto"/>
        <w:right w:val="none" w:sz="0" w:space="0" w:color="auto"/>
      </w:divBdr>
    </w:div>
    <w:div w:id="1819682496">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2020-05-05T10:46:11+00:00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2QFN7KK647Q6-1153347766-94694</_dlc_DocId>
    <_dlc_DocIdUrl xmlns="12cff280-46d3-4d75-8ec5-390382d392fa">
      <Url>https://beisgov.sharepoint.com/sites/SMIP-EXT-423/_layouts/15/DocIdRedir.aspx?ID=2QFN7KK647Q6-1153347766-94694</Url>
      <Description>2QFN7KK647Q6-1153347766-94694</Description>
    </_dlc_DocIdUrl>
    <LegacyData xmlns="12cff280-46d3-4d75-8ec5-390382d392fa">{
  "Name": "IRP621 HAN Only Command Validation by the ESME-GSME - GBCS error v0_1.docx",
  "Title": "",
  "External": "",
  "Document Notes": "",
  "Security Classification": "OFFICIAL",
  "Handling Instructions": "",
  "Descriptor": "",
  "Government Body": "BEIS",
  "Business Unit": "BEIS:Energy, Transformation and Clean Growth:Smart Metering Implementation Programme",
  "Retention Label": "HMG PPP Review",
  "Date Opened": "2020-05-05T10:46:11Z",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"2020-05-05T10:46:11Z",
  "Document Modified By": "i:0#.f|membership|john.eager@beis.gov.uk",
  "Document Created By": "i:0#.f|membership|john.eager@beis.gov.uk",
  "Document ID Value": "2QFN7KK647Q6-1153347766-94694",
  "Modified": "2020-05-05T10:46:11Z",
  "Original Location": "/sites/beis/423/Shared Documents/# SMIP Governance/Tech Spec Feedback/Resolution Proposals (IRPs &amp; CRPs)/IRP621 HAN Only Command Validation by the ESME-GSME - GBCS error v0_1.docx"
}</LegacyData>
    <Document_x0020_Notes xmlns="12cff280-46d3-4d75-8ec5-390382d392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325265-76B8-465D-B3D4-45B0657BA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D30F6-F808-4E58-A034-C9A13ECE6D0B}">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3.xml><?xml version="1.0" encoding="utf-8"?>
<ds:datastoreItem xmlns:ds="http://schemas.openxmlformats.org/officeDocument/2006/customXml" ds:itemID="{8C465F84-9523-45DB-96EB-28202E141D76}">
  <ds:schemaRefs>
    <ds:schemaRef ds:uri="http://schemas.microsoft.com/sharepoint/v3/contenttype/forms"/>
  </ds:schemaRefs>
</ds:datastoreItem>
</file>

<file path=customXml/itemProps4.xml><?xml version="1.0" encoding="utf-8"?>
<ds:datastoreItem xmlns:ds="http://schemas.openxmlformats.org/officeDocument/2006/customXml" ds:itemID="{13CD75D9-AF1D-4BC0-8143-F3C3F5CA6F82}">
  <ds:schemaRefs>
    <ds:schemaRef ds:uri="http://schemas.openxmlformats.org/officeDocument/2006/bibliography"/>
  </ds:schemaRefs>
</ds:datastoreItem>
</file>

<file path=customXml/itemProps5.xml><?xml version="1.0" encoding="utf-8"?>
<ds:datastoreItem xmlns:ds="http://schemas.openxmlformats.org/officeDocument/2006/customXml" ds:itemID="{55D2C648-0529-4595-9211-3332C9601C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Mounsey Helen (Fuel Poverty &amp; Smart Meters)</dc:creator>
  <cp:lastModifiedBy>Khaleda Hussain</cp:lastModifiedBy>
  <cp:revision>2</cp:revision>
  <cp:lastPrinted>2015-04-24T12:01:00Z</cp:lastPrinted>
  <dcterms:created xsi:type="dcterms:W3CDTF">2021-01-14T16:48:00Z</dcterms:created>
  <dcterms:modified xsi:type="dcterms:W3CDTF">2021-01-14T16:48:00Z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2020-02-17T09:50:21Z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acca9a71-7a02-47c3-8ce0-0000554b39f4</vt:lpwstr>
  </property>
  <property fmtid="{D5CDD505-2E9C-101B-9397-08002B2CF9AE}" pid="8" name="MSIP_Label_ba62f585-b40f-4ab9-bafe-39150f03d124_ContentBits">
    <vt:lpwstr>0</vt:lpwstr>
  </property>
  <property fmtid="{D5CDD505-2E9C-101B-9397-08002B2CF9AE}" pid="9" name="ContentTypeId">
    <vt:lpwstr>0x010100D25F94341B9B1449B2438654B4A2A386</vt:lpwstr>
  </property>
  <property fmtid="{D5CDD505-2E9C-101B-9397-08002B2CF9AE}" pid="10" name="Business Unit">
    <vt:lpwstr>1;#Smart Metering Implementation Programme|bb7732ef-da62-4d24-b6f9-71b10bcc1ea2</vt:lpwstr>
  </property>
  <property fmtid="{D5CDD505-2E9C-101B-9397-08002B2CF9AE}" pid="11" name="_dlc_DocIdItemGuid">
    <vt:lpwstr>c24d37dd-5782-42af-ab1f-f0a8d757d15c</vt:lpwstr>
  </property>
  <property fmtid="{D5CDD505-2E9C-101B-9397-08002B2CF9AE}" pid="12" name="MailSubject">
    <vt:lpwstr/>
  </property>
  <property fmtid="{D5CDD505-2E9C-101B-9397-08002B2CF9AE}" pid="13" name="Order">
    <vt:r8>9469400</vt:r8>
  </property>
  <property fmtid="{D5CDD505-2E9C-101B-9397-08002B2CF9AE}" pid="14" name="LegacyPaperReason">
    <vt:lpwstr/>
  </property>
  <property fmtid="{D5CDD505-2E9C-101B-9397-08002B2CF9AE}" pid="15" name="MailPreviewData">
    <vt:lpwstr/>
  </property>
  <property fmtid="{D5CDD505-2E9C-101B-9397-08002B2CF9AE}" pid="16" name="MailAttachments">
    <vt:bool>false</vt:bool>
  </property>
  <property fmtid="{D5CDD505-2E9C-101B-9397-08002B2CF9AE}" pid="17" name="LegacyMovementHistory">
    <vt:lpwstr/>
  </property>
  <property fmtid="{D5CDD505-2E9C-101B-9397-08002B2CF9AE}" pid="18" name="MailIn-Reply-To">
    <vt:lpwstr/>
  </property>
  <property fmtid="{D5CDD505-2E9C-101B-9397-08002B2CF9AE}" pid="19" name="Held By">
    <vt:lpwstr/>
  </property>
  <property fmtid="{D5CDD505-2E9C-101B-9397-08002B2CF9AE}" pid="20" name="Barcode">
    <vt:lpwstr/>
  </property>
  <property fmtid="{D5CDD505-2E9C-101B-9397-08002B2CF9AE}" pid="21" name="MailTo">
    <vt:lpwstr/>
  </property>
  <property fmtid="{D5CDD505-2E9C-101B-9397-08002B2CF9AE}" pid="22" name="LegacyHistoricalBarcode">
    <vt:lpwstr/>
  </property>
  <property fmtid="{D5CDD505-2E9C-101B-9397-08002B2CF9AE}" pid="23" name="LegacySubject">
    <vt:lpwstr/>
  </property>
  <property fmtid="{D5CDD505-2E9C-101B-9397-08002B2CF9AE}" pid="24" name="MailFrom">
    <vt:lpwstr/>
  </property>
  <property fmtid="{D5CDD505-2E9C-101B-9397-08002B2CF9AE}" pid="25" name="MailOriginalSubject">
    <vt:lpwstr/>
  </property>
  <property fmtid="{D5CDD505-2E9C-101B-9397-08002B2CF9AE}" pid="26" name="LegacyAddresses">
    <vt:lpwstr/>
  </property>
  <property fmtid="{D5CDD505-2E9C-101B-9397-08002B2CF9AE}" pid="27" name="LegacyBarcode">
    <vt:lpwstr/>
  </property>
  <property fmtid="{D5CDD505-2E9C-101B-9397-08002B2CF9AE}" pid="28" name="MailReply-To">
    <vt:lpwstr/>
  </property>
  <property fmtid="{D5CDD505-2E9C-101B-9397-08002B2CF9AE}" pid="29" name="LegacyCaseReferenceNumber0">
    <vt:lpwstr/>
  </property>
  <property fmtid="{D5CDD505-2E9C-101B-9397-08002B2CF9AE}" pid="30" name="LegacyForeignBarcode">
    <vt:lpwstr/>
  </property>
  <property fmtid="{D5CDD505-2E9C-101B-9397-08002B2CF9AE}" pid="31" name="LegacyDisposition">
    <vt:lpwstr/>
  </property>
  <property fmtid="{D5CDD505-2E9C-101B-9397-08002B2CF9AE}" pid="32" name="LegacyOriginator">
    <vt:lpwstr/>
  </property>
  <property fmtid="{D5CDD505-2E9C-101B-9397-08002B2CF9AE}" pid="33" name="MailCc">
    <vt:lpwstr/>
  </property>
  <property fmtid="{D5CDD505-2E9C-101B-9397-08002B2CF9AE}" pid="34" name="LegacyPhysicalObject">
    <vt:bool>false</vt:bool>
  </property>
  <property fmtid="{D5CDD505-2E9C-101B-9397-08002B2CF9AE}" pid="35" name="LegacyAddressee">
    <vt:lpwstr/>
  </property>
  <property fmtid="{D5CDD505-2E9C-101B-9397-08002B2CF9AE}" pid="36" name="CIRRUSPreviousRetentionPolicy0">
    <vt:lpwstr/>
  </property>
  <property fmtid="{D5CDD505-2E9C-101B-9397-08002B2CF9AE}" pid="37" name="MailReferences">
    <vt:lpwstr/>
  </property>
</Properties>
</file>